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VO130069 vom 20. April 2013</w:t>
      </w:r>
    </w:p>
    <w:p>
      <w:r>
        <w:t>ZH Obergericht, 2013-04-20, DE</w:t>
      </w:r>
    </w:p>
    <w:p>
      <w:r>
        <w:rPr>
          <w:b/>
        </w:rPr>
        <w:t xml:space="preserve">Quelle: </w:t>
      </w:r>
      <w:r>
        <w:t>https://mcp.opencaselaw.ch/entscheid/zh_obergericht_VO130069</w:t>
      </w:r>
    </w:p>
    <w:p>
      <w:r>
        <w:t>FR: ZH_OBERGERICHT VO130069 du 20 avril 2013</w:t>
      </w:r>
    </w:p>
    <w:p>
      <w:r>
        <w:t>IT: ZH_OBERGERICHT VO130069 del 20 aprile 2013</w:t>
      </w:r>
    </w:p>
    <w:p>
      <w:pPr>
        <w:pStyle w:val="Heading2"/>
      </w:pPr>
      <w:r>
        <w:t>Erwägungen</w:t>
      </w:r>
    </w:p>
    <w:p>
      <w:r>
        <w:rPr>
          <w:b/>
        </w:rPr>
        <w:t>E. 1</w:t>
      </w:r>
    </w:p>
    <w:p>
      <w:r>
        <w:t>Ausgangslage</w:t>
      </w:r>
    </w:p>
    <w:p>
      <w:r>
        <w:rPr>
          <w:b/>
        </w:rPr>
        <w:t>E. 1.1</w:t>
      </w:r>
    </w:p>
    <w:p>
      <w:r>
        <w:t>Mit Eingabe vom 15. April 2013 liess A._____ (nachfolgend: Gesuchstelle- rin) durch ihre Beiständin lic. iur. X._____ beim Obergericht des Kantons Zü- rich um Gewährung der unentgeltlichen Rechtspflege für ein beim Friedens- richteramt D._____ anhängig gemachtes Schlichtungsverfahren ersuchen. Das Schlichtungsverfahren betrifft eine Unterhaltsklage gegen E._____ (act. 1 und act. 4/4).</w:t>
      </w:r>
    </w:p>
    <w:p>
      <w:r>
        <w:rPr>
          <w:b/>
        </w:rPr>
        <w:t>E. 1.2</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Eine Person hat Anspruch auf unentgeltliche Rechtspflege, wenn sie einer- seits nicht über die erforderlichen Mittel verfügt (sog. "Mittellosigkeit" oder "Bedürftigkeit") und andererseits ihr Rechtsbegehren nicht aussichtslos er- scheint (Art. 117 ZPO). Die Mittellosigkeit wird gemeinhin dann bejaht, wenn der Aufwand des not- wendigen Lebensunterhalts (sog. "zivilprozessualer Notbedarf") das mass- gebliche Einkommen übersteigt bzw. aus der Differenz nur ein kleiner Über- schuss resultiert, welcher es der gesuchstellenden Person nicht erlauben</w:t>
      </w:r>
    </w:p>
    <w:p>
      <w:r>
        <w:t>- 3 - würde, die Prozesskosten innert nützlicher Frist zu bezahlen. Nebst dem Einkommen ist auch das Vermögen zur Bestreitung des Prozessaufwands einzusetzen. Zu berücksichtigen ist vorhandenes Vermögen jeglicher Art, soweit es effektiv verfügbar, realisierbar und sein Verbrauch zumutbar ist. Als Lebensaufwandkosten sind zu berücksichtigen der Grundbetrag, recht- lich geschuldete Unterhaltsbeiträge, Wohnkosten, obligatorische Versiche- rungen, Transportkosten zum Arbeitsplatz, Steuern sowie Verpflichtungen gegenüber Dritten, wenn sie tatsächlich erfüllt werden (Emmel in: Kommen- tar zur Schweizerischen Zivilprozessordnung, Sutter-Somm/Hasenböhl- er/Leuenberger [Hrsg.], Zürich/Basel/Genf 2010, Art. 117 N 9). Massgebend sind die wirtschaftlichen Verhältnisse im Zeitpunkt der Gesuchstellung (Em- mel, a.a.O., Art. 117 N 4).</w:t>
      </w:r>
    </w:p>
    <w:p>
      <w:r>
        <w:rPr>
          <w:b/>
        </w:rPr>
        <w:t>E. 2.3</w:t>
      </w:r>
    </w:p>
    <w:p>
      <w:r>
        <w:t>Bei der Beurteilung der Bedürftigkeit bei Gesuchen um unentgeltliche Rechtspflege für das Schlichtungsverfahren sind sehr strenge Massstäbe anzulegen: Die in einem Schlichtungsverfahren entstehenden Kosten sind – anders als vor einer Gerichtsinstanz – sehr beschränkt und können deshalb bereits bei einem relativ geringen Überschuss des Einkommens und Vermö- gens über den zivilprozessualen Notbedarf bestritten werden.</w:t>
      </w:r>
    </w:p>
    <w:p>
      <w:r>
        <w:rPr>
          <w:b/>
        </w:rPr>
        <w:t>E. 2.4</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 kungspflicht nicht oder nur ungenügend nach und kann als Folge davon ihre Bedürftigkeit nicht hinreichend beurteilt werden, ist der Anspruch um unent- geltliche Rechtspflege zu verweigern (BGE 120 Ia 179).</w:t>
      </w:r>
    </w:p>
    <w:p>
      <w:r>
        <w:rPr>
          <w:b/>
        </w:rPr>
        <w:t>E. 2.5</w:t>
      </w:r>
    </w:p>
    <w:p>
      <w:r>
        <w:t>Dem Anspruch auf unentgeltliche Rechtspflege gehen allfällige gesetzliche Unterhaltspflichten wie bspw. die Unterhaltspflicht der Eltern für ihre Kinder gemäss Art. 276 ff. ZGB vor (vgl. BGE 127 I 202), weshalb vorliegend ins- besondere zu prüfen ist, ob die Gesuchstellerin nicht auf der Grundlage sol- cher Verpflichtungen die nötigen finanziellen Mittel erhältlich machen kann.</w:t>
      </w:r>
    </w:p>
    <w:p>
      <w:r>
        <w:t>- 4 - Konkret sind deshalb die finanziellen Verhältnisse der Mutter der Gesuch- stellerin in die Beurteilung ihrer Mittellosigkeit einzubeziehen.</w:t>
      </w:r>
    </w:p>
    <w:p>
      <w:r>
        <w:rPr>
          <w:b/>
        </w:rPr>
        <w:t>E. 2.6</w:t>
      </w:r>
    </w:p>
    <w:p>
      <w:r>
        <w:t>Gemäss den glaubhaften Ausführungen im Gesuch handelt es sich bei der rund zwei Jahre alten Gesuchstellerin um ein einkommens- und vermögens- loses Kleinkind (act. 1 S. 2). Das Vermögen der Mutter wird mittels Konto- auszugs der F._____ AG vom 5. April 2013 belegt, woraus hervorgeht, dass das Konto per 4. April 2013 einen Saldo von Fr. 259.15 aufwies (act. 4/5). Zum Einkommen der Kindsmutter wird im Gesuch ausgeführt, sie sei zurzeit arbeitslos und werde ergänzend von einem Bekannten unterstützt (act. 1 S. 2). Die Beiträge des Bekannten wurden zwar im genannten Kontoauszug ausgewiesen, die fehlende Einkommenslosigkeit wurde hingegen nicht hin- reichend belegt. Bereits am 23. Dezember 2011 liess die Gesuchstellerin ein Gesuch um unentgeltliche Rechtspflege einreichen (VO120015, act. 6). Da- mals erhielt die Kindsmutter für die Gesuchstellerin Unterhaltsbeiträge von Fr. 1'700.- pro Monat sowie Arbeitslosenentschädigung (act. 6/2 S. 25, act. 6/12/13-21). Dass Letztere in der Zwischenzeit weggefallen ist, kann zwar aufgrund des Restanspruchs des Taggeldguthabens im Januar 2012 (act. 6/12/21) nicht ausgeschlossen werden. Im Gesuch wird jedoch festge- halten, die Mutter der Gesuchstellerin werde von einem Bekannten "ergän- zend" unterstützt. Offenbar generiert sie nebst der Bekanntenunterstützung noch weitere Einkünfte, welche jedoch nicht offengelegt wurden. Im Weite- ren geht aus dem genannten Kontobeleg vom 5. April 2013 eine Gutschrift von Fr. 1'700.- hervor (act. 4/5). Nicht hinreichend klar ist, ob es sich hierbei um die genannten Unterhaltszahlungen handelt. Sodann kann den beigezo- genen Akten des Verfahrens VO120015 entnommen werden, dass die Kindsmutter damals bei der F._____ AG ein Privat- und ein Sparkonto führte (act. 6/12/88). Im hiesigen Verfahren wurde hingegen lediglich ein Beleg des Privatkontos ins Recht gereicht, ohne darzulegen, dass das Sparkonto in der Zwischenzeit aufgehoben worden wäre. Schliesslich fehlt es im Gesuch auch an Ausführungen zu den notwendigen Lebenshaltungskosten der Ge- suchstellerin und ihrer Mutter. Wie erwogen ist es Aufgabe der gesuchstel- lenden Person, den Nachweis der Mittellosigkeit zu erbringen und damit die</w:t>
      </w:r>
    </w:p>
    <w:p>
      <w:r>
        <w:t>- 5 - Einkommens- und Vermögensverhältnisse sowie die notwendigen Lebens- haltungskosten offenzulegen und zu belegen (Entscheid des Bundesgerichts 4A_87/2007 E. 2.1; Emmel, a.a.O., Art. 119 N 6). Diese Mitwirkungspflicht ist umfassend und gilt auch für die finanziellen Verhältnisse der Mutter. Die rechtskundig vertretene Gesuchstellerin hat davon abgesehen, sich zum Einkommen und zu den notwendigen Lebenshaltungskosten zu äussern bzw. diese zu belegen. Damit ist sie ihrer Mitwirkungspflicht nicht nachge- kommen, weshalb es dem Obergerichtspräsidenten nicht möglich ist, die Bedürftigkeit hinreichend zu beurteilen. Das Gesuch um unentgeltliche Rechtspflege ist daher abzuweisen.</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die gesuchstellende Person den Entscheid mit Be- schwerde gemäss Art. 121 ZPO beim Obergericht anfechten. Dass vorlie- gend der Obergerichtspräsident über das Gesuch befindet, vermag daran nichts zu ändern. Der Obergerichtspräsident fällt in diesem Verfahren einen erstinstanzlichen Entscheid i.S.v. Art. 319 lit. b ZPO und fungiert nicht als obere kantonale Instanz, gegen deren Entscheide lediglich ein Rechtsmittel ans Bundesgericht gegeben wäre.</w:t>
      </w:r>
    </w:p>
    <w:p>
      <w:r>
        <w:rPr>
          <w:b/>
        </w:rPr>
        <w:t>E. 3.3</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