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VO130031 vom 6. März 2013</w:t>
      </w:r>
    </w:p>
    <w:p>
      <w:r>
        <w:t>ZH Obergericht, 2013-03-06, DE</w:t>
      </w:r>
    </w:p>
    <w:p>
      <w:r>
        <w:rPr>
          <w:b/>
        </w:rPr>
        <w:t xml:space="preserve">Quelle: </w:t>
      </w:r>
      <w:r>
        <w:t>https://mcp.opencaselaw.ch/entscheid/zh_obergericht_VO130031</w:t>
      </w:r>
    </w:p>
    <w:p>
      <w:r>
        <w:t>FR: ZH_OBERGERICHT VO130031 du 6 mars 2013</w:t>
      </w:r>
    </w:p>
    <w:p>
      <w:r>
        <w:t>IT: ZH_OBERGERICHT VO130031 del 6 marzo 2013</w:t>
      </w:r>
    </w:p>
    <w:p>
      <w:pPr>
        <w:pStyle w:val="Heading2"/>
      </w:pPr>
      <w:r>
        <w:t>Erwägungen</w:t>
      </w:r>
    </w:p>
    <w:p>
      <w:r>
        <w:rPr>
          <w:b/>
        </w:rPr>
        <w:t>E. 1</w:t>
      </w:r>
    </w:p>
    <w:p>
      <w:r>
        <w:t>Ausgangslage</w:t>
      </w:r>
    </w:p>
    <w:p>
      <w:r>
        <w:rPr>
          <w:b/>
        </w:rPr>
        <w:t>E. 1.1</w:t>
      </w:r>
    </w:p>
    <w:p>
      <w:r>
        <w:t>Mit Eingabe vom 27. Februar 2013 liess A._____ (nachfolgend: Gesuchstel- lerin) durch ihre Beiständin lic. iur. X._____ des Amts für Jugend und Be- rufsberatung beim Friedensrichteramt C._____ ein Schlichtungsgesuch be- treffend Klage auf Unterhalt gegen D._____ einreichen (act. 2/3).</w:t>
      </w:r>
    </w:p>
    <w:p>
      <w:r>
        <w:rPr>
          <w:b/>
        </w:rPr>
        <w:t>E. 1.2</w:t>
      </w:r>
    </w:p>
    <w:p>
      <w:r>
        <w:t>Ebenfalls am 27. Februar 2013 liess die Gesuchstellerin sodann beim Ober- gericht des Kantons Zürich für das Schlichtungsverfahren um Gewährung der unentgeltlichen Rechtspflege nach Art. 117 ZPO ersuchen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w:t>
      </w:r>
    </w:p>
    <w:p>
      <w:r>
        <w:t>- 3 -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w:t>
      </w:r>
    </w:p>
    <w:p>
      <w:r>
        <w:t>- 4 - Konkret sind deshalb die finanziellen Verhältnisse der Mutter der Gesuch- stellerin in die Beurteilung ihrer Mittellosigkeit einzubeziehen.</w:t>
      </w:r>
    </w:p>
    <w:p>
      <w:r>
        <w:rPr>
          <w:b/>
        </w:rPr>
        <w:t>E. 2.6</w:t>
      </w:r>
    </w:p>
    <w:p>
      <w:r>
        <w:t>Bei der Gesuchstellerin handelt es sich um ein rund zehn Monate altes Kleinkind. Gemäss den glaubhaften Ausführungen im Gesuch verfügt sie weder über ein Einkommen noch über Vermögen (act. 1 S. 2). Die Kinds- mutter arbeitet zurzeit zu 50 Prozent als Betriebsassistentin bei der E._____ AG in F._____ (act. 1 S. 2). Ihr durchschnittliches Nettoeinkommen beläuft sich auf Fr. 2'337.25 pro Monat (act. 2/4). Zudem erhält sie Kinderzulagen in der Höhe von Fr. 200.- pro Monat (act. 2/4) sowie Kleinkinderbetreuungsbei- träge in der Höhe von Fr. 460.- pro Monat (vgl. act. 1 S. 2). Die monatlichen Einkünfte belaufen sich damit auf insgesamt Fr. 2'997.25. Die Kindsmutter verfügte sodann gemäss dem Kontoauszug der … Bank per 29. Januar 2013 über Vermögen (…) von Fr. 14'656.59 (act. 2/6). Die notwendigen Lebenshaltungskosten für sich und die Kindsmutter bezif- fert und belegt die Gesuchstellerin sodann wie folgt: Mietkosten Fr. 1'438.- pro Monat (act. 2/7), Krankenkassenprämien KVG Kindsmutter Fr. 198.55 pro Monat (act. 2/9a, act. 2/10, inkl. Prämienverbilligung), Krankenkassen- prämien KVG Gesuchstellerin Fr. 68.75 pro Monat (act. 2/9b), Hausrat- /Haftpflichtversicherung Fr. 32.10 pro Monat (act. 2/11) sowie Fremdbetreu- ungskosten Gesuchstellerin Fr. 1'000.- pro Monat (vgl. act. 2/12a). Die Miet- kosten für den Autoeinstellplatz von Fr. 40.- (act. 2/7-8) sind in der Bedarfs- rechnung nicht zu berücksichtigen (BSK SchKG I-Vonder Mühll, Art. 93 N 26). Die Kosten für den Arbeitsweg sind sodann nicht ausgewiesen und finden daher ebenfalls keinen Eingang in die Bedarfsrechnung. Eine Fristan- setzung zur Nachreichung der Unterlagen drängt sich aufgrund der anwaltli- chen Vertretung der Gesuchstellerin nicht auf. Im Weiteren beantragt die Gesuchstellerin die Zusprechung eines Zuschlages von 20 Prozent für Steuern etc. Der Zuschlag von 20 Prozent ist auf den Grundbetrag zu ge- währen (BSK ZPO-Rüegg, Art. 117 N 12). Unter Berücksichtigung des Grundbetrags für sich und die Gesuchstellerin kann die Kindsmutter bei die- sen finanziellen Verhältnissen (monatliches Einkommen Fr. 2'997.25, Ver-</w:t>
      </w:r>
    </w:p>
    <w:p>
      <w:r>
        <w:t>- 5 - mögen, Fr. 14'656.59, monatlicher Notbedarf: Fr. 4'837.40) nicht angehalten werden, gestützt auf die familienrechtliche Unterhaltspflicht einen Prozess- kostenvorschuss zu leisten. Die Kindsmutter hat zwar erhebliches liquides Vermögen, es ist jedoch davon auszugehen, dass sie dieses zur Deckung der notwendigen Lebenshaltungskosten benötigt. Das Erfordernis der Mittel- losigkeit der Gesuchstellerin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D._____ kann aus heuti- ger Perspektive nicht als aussichtslos bezeichnet werden, da er die Gesuch- stellerin am 11. Juni 2012 als sein Kind anerkannt hat (act. 2/2). Folglich kann dem Antrag der Gesuchstellerin entsprochen werden und ist ihr für das Schlichtungsverfahren vor dem Friedensrichteramt C._____ betreffend oberwähnte Unterhaltsklage die unentgeltliche Rechtspflege zu erteilen.</w:t>
      </w:r>
    </w:p>
    <w:p>
      <w:r>
        <w:rPr>
          <w:b/>
        </w:rPr>
        <w:t>E. 2.9</w:t>
      </w:r>
    </w:p>
    <w:p>
      <w:r>
        <w:t>Einen Antrag um Bestellung einer unentgeltlichen Rechtsbeiständin in der Person von lic. iur. X._____ lässt die Gesuchstellerin nicht stellen. Einem solchen Antrag wäre auch nicht stattzugeben, da gemäss ständiger kantona- ler und bundesgerichtlicher Rechtsprechung die Bestellung einer solchen nicht notwendig erscheint, wenn die bedürftige Partei über einen Beistand verfügt, welcher in der Lage ist, die Interessen des Vertretenen zu wahren (ZR 83 [1984] S. 271; BGE 110 IA 87). Dies ist vorliegend der Fall. Die So- zialbehörde C._____ hat lic. iur. X._____ mit Beschluss vom 7. November 2012 ausdrücklich zur Beiständin der Gesuchstellerin u.a. mit dem Auftrag ernannt, für eine angemessene Regelung der Unterhaltspflicht zu sorgen,</w:t>
      </w:r>
    </w:p>
    <w:p>
      <w:r>
        <w:t>- 6 - wozu ihr eine Prozessvollmacht mit Substitutionsrecht erteilt wurde (act. 2/1). Damit ist die rechtskundige Vertretung der Gesuchstellerin ge- währleistet.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C._____.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