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VO130028 vom 4. März 2013</w:t>
      </w:r>
    </w:p>
    <w:p>
      <w:r>
        <w:t>ZH Obergericht, 2013-03-04, DE</w:t>
      </w:r>
    </w:p>
    <w:p>
      <w:r>
        <w:rPr>
          <w:b/>
        </w:rPr>
        <w:t xml:space="preserve">Quelle: </w:t>
      </w:r>
      <w:r>
        <w:t>https://mcp.opencaselaw.ch/entscheid/zh_obergericht_VO130028</w:t>
      </w:r>
    </w:p>
    <w:p>
      <w:r>
        <w:t>FR: ZH_OBERGERICHT VO130028 du 4 mars 2013</w:t>
      </w:r>
    </w:p>
    <w:p>
      <w:r>
        <w:t>IT: ZH_OBERGERICHT VO130028 del 4 marzo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Dem Präsidenten des Obergerichts des Kantons Zürich obliegt gemäss § 128 GOG nur die Beurteilung von Gesuchen um Gewährung der unent- geltlichen Rechtspflege vor Einreichung einer Klage bei einem zürcheri- schen Gericht, namentlich für ein Schlichtungsverfahren vor einer zürcheri- schen Schlichtungsbehörde. In sachlicher Hinsicht ist er damit nur für vor- prozessuale Gesuche bzw. Gesuche bis zum Abschluss eines allfälligen Schlichtungsverfahrens zuständig. Nicht zuständig ist er hingegen für die Gewährung der unentgeltlichen Rechtspflege im Rahmen eines bereits hän- gigen Verfahrens vor einem Bezirksgericht, wie dies der Gesuchsteller bean- tragt (act. 1). Ein solches Gesuch ist direkt beim betreffenden Gericht zu stellen, vorliegend beim Bezirksgericht Zürich. Mangels Zuständigkeit ist da- her auf das Gesuch um Gewährung der unentgeltlichen Rechtspflege nicht einzutreten. 3.1. Gemäss Art. 119 Abs. 6 ZPO ist das Verfahren um unentgeltliche Rechts- pflege kostenlos. 3.2. 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</w:t>
      </w:r>
    </w:p>
    <w:p>
      <w:r>
        <w:t>- 3 - nichts zu ändern. Der Obergerichtspräsident fällt in diesem Verfahren einen erstinstanzlichen Entscheid i.S.v. Art. 319 lit. b ZPO und fungiert nicht als obere kantonale Instanz, gegen deren Entscheide lediglich ein Rechtsmittel ans Bundesgericht gegeben wäre.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