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VO120192 vom 21. Dezember 2012</w:t>
      </w:r>
    </w:p>
    <w:p>
      <w:r>
        <w:t>ZH Obergericht, 2012-12-21, DE</w:t>
      </w:r>
    </w:p>
    <w:p>
      <w:r>
        <w:rPr>
          <w:b/>
        </w:rPr>
        <w:t xml:space="preserve">Quelle: </w:t>
      </w:r>
      <w:r>
        <w:t>https://mcp.opencaselaw.ch/entscheid/zh_obergericht_VO120192</w:t>
      </w:r>
    </w:p>
    <w:p>
      <w:r>
        <w:t>FR: ZH_OBERGERICHT VO120192 du 21 décembre 2012</w:t>
      </w:r>
    </w:p>
    <w:p>
      <w:r>
        <w:t>IT: ZH_OBERGERICHT VO120192 del 21 dicembre 2012</w:t>
      </w:r>
    </w:p>
    <w:p>
      <w:pPr>
        <w:pStyle w:val="Heading2"/>
      </w:pPr>
      <w:r>
        <w:t>Erwägungen</w:t>
      </w:r>
    </w:p>
    <w:p>
      <w:r>
        <w:rPr>
          <w:b/>
        </w:rPr>
        <w:t>E. 1</w:t>
      </w:r>
    </w:p>
    <w:p>
      <w:r>
        <w:t>Ausgangslage</w:t>
      </w:r>
    </w:p>
    <w:p>
      <w:r>
        <w:rPr>
          <w:b/>
        </w:rPr>
        <w:t>E. 1.1</w:t>
      </w:r>
    </w:p>
    <w:p>
      <w:r>
        <w:t>Am 29. Oktober 2012 liessen A._____ (nachfolgend: Gesuchstellerin 1), B._____ (nachfolgend: Gesuchstellerin 2) und C._____ (nachfolgend: Ge- suchstellerin 3) durch ihren Rechtsvertreter beim Friedensrichteramt D._____ ein Schlichtungsgesuch betreffend Unterhaltsbeiträge gegen E._____ einreichen (act. 2). Gleichzeitig liessen sie ein Gesuch um Gewäh- rung der unentgeltlichen Rechtspflege stellen (act. 2 S. 2). Die Bestellung eines unentgeltlichen Rechtsbeistandes liessen sie nicht beantragen. In der Folge setzte das Friedensrichteramt den Gesuchstellerinnen eine Frist zur Leistung eines Kostenvorschusses in der Höhe von Fr. 350.- an, welcher ge- leistet wurde (act. 1). Mit Eingabe vom 10. Dezember 2012 ersuchten die Gesuchstellerinnen erneut um die Gewährung der unentgeltlichen Rechts- pflege für das Schlichtungsverfahren und um Rückerstattung des geleisteten Kostenvorschusses (act. 4). Nach der Durchführung der Schlichtungsver- handlung am 12. Dezember 2012 und der Ausstellung der Klagebewilligung am 13. Dezember 2012 (act. 5) überwies das Friedensrichteramt D._____ das Gesuch um unentgeltliche Rechtspflege mit Schreiben vom 14. Dezem- ber 2012 dem Obergericht des Kantons Zürich zur Behandlung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der Einreichung der Klage bei Gericht ist gemäss § 128 GOG der Obergerichts- präsident im summarischen Verfahren (Art. 119 Abs. 3 ZPO) zuständig. Die unentgeltliche Rechtspflege ist gemäss Art. 119 Abs. 5 ZPO vor jeder In- stanz neu zu beantragen, weshalb der Obergerichtspräsident diese bei Vor-</w:t>
      </w:r>
    </w:p>
    <w:p>
      <w:r>
        <w:t>- 3 - liegen der Anspruchsvoraussetzungen nur bis zum Abschluss des Schlich- tungsverfahrens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w:t>
      </w:r>
    </w:p>
    <w:p>
      <w:r>
        <w:t>- 4 -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Da die Unterhaltspflicht der Eltern nach der Mündigkeit des Kindes grundsätzlich bis zum Abschluss einer ordentlichen Ausbildung weiterdauert (Art. 277 Abs. 2 ZGB), ist vorlie- gend insbesondere zu prüfen, ob die Gesuchstellerinnen nicht auf der Grundlage solcher Verpflichtungen die nötigen finanziellen Mittel erhältlich machen können. Konkret sind deshalb die finanziellen Verhältnisse der Mut- ter der Gesuchstellerinnen in die Beurteilung ihrer Mittellosigkeit einzubezie- hen.</w:t>
      </w:r>
    </w:p>
    <w:p>
      <w:r>
        <w:rPr>
          <w:b/>
        </w:rPr>
        <w:t>E. 2.6</w:t>
      </w:r>
    </w:p>
    <w:p>
      <w:r>
        <w:t>Die Gesuchstellerin 1 lässt ausführen, sie absolviere zurzeit ein Studium (act. 2 S. 1). Ihr steuerbares Einkommen von Fr. 966.70 pro Monat sowie ihr steuerbares Vermögen von Fr. 0.- belegt sie mittels Steuerausweis vom 1. November 2012 der Gemeinde D._____ (act. 4). Die Gesuchstellerin 2 ist Lernende und hat gemäss Steuerausweis der Gemeinde D._____ vom 1. November 2012 weder steuerbares Einkommen noch steuerbares Vermö- gen (act. 4). Die finanziellen Verhältnisse der Gesuchstellerin 3, welche noch in die Schule geht (act. 2 S. 1), sind nicht bekannt. Im Gesuch wird einzig ausgeführt, sie sei ebenfalls mittellos (act. 4). Wie erwogen ist, es Aufgabe der gesuchstellenden Person, den Nachweis der Mittellosigkeit zu erbringen und damit die Einkommens- und Vermö-</w:t>
      </w:r>
    </w:p>
    <w:p>
      <w:r>
        <w:t>- 5 - gensverhältnisse sowie die notwendigen Lebenshaltungskosten offenzule- gen und zu belegen (Entscheid des Bundesgerichts 4A_87/2007 E. 2.1; Emmel, a.a.O., Art. 119 N 6). Diese Mitwirkungspflicht ist umfassend und gilt auch für die finanziellen Verhältnisse der Mutter, welche, wie dargelegt, auf- grund der Dauer der Unterhaltspflicht über die Mündigkeit hinaus in die Be- urteilung des Gesuchs miteinzubeziehen sind. Die Leistung von Prozesskos- tenvorschüssen gehört ebenfalls zur Unterhaltspflicht (BSK ZGB I- Breitschmid, Art. 276 N 26) und besteht unabhängig von weiteren Unter- haltsleistungen. Die rechtskundig vertretenen Gesuchstellerinnen haben da- von abgesehen, sich zum Einkommen, Vermögen und zu den notwendigen Lebenshaltungskosten der Mutter zu äussern und diese - auch nicht im Schlichtungsverfahren - zu belegen. Damit sind sie ihrer Mitwirkungspflicht nicht nachgekommen, weshalb es dem Obergerichtspräsidenten nicht mög- lich ist, die Bedürftigkeit hinreichend zu beurteilen. Das Gesuch um unent- geltliche Prozessführung ist daher abzuweisen.</w:t>
      </w:r>
    </w:p>
    <w:p>
      <w:r>
        <w:rPr>
          <w:b/>
        </w:rPr>
        <w:t>E. 2.7</w:t>
      </w:r>
    </w:p>
    <w:p>
      <w:r>
        <w:t>Für die Beurteilung der zweiten Voraussetzung der fehlenden Aussichtslo- sigkeit ist sodann eine gewisse Prozessprognose notwendig, wobei auf den Zeitpunkt der Gesuchseinreichung abzustellen ist. Als aussichtslos sind da- bei nach der bundesgerichtlichen Rechtsprechung Prozessbegehren anzu- sehen, bei denen die Gewinnaussichten beträchtlich geringer sind als die Verlustgefahren und die deshalb kaum als ernsthaft bezeichnet werden kön- nen (vgl. z.B. BGE 69 I 160). Zu prüfen ist, ob der geltend gemachte An- spruch aus den behaupteten Tatsachen rechtlich begründet ist. Die Prozess- chancen sind in vorläufiger und summarischer Prüfung der Sach- und Rechtslage aufgrund des jeweiligen Aktenstandes zu beurteilen (BGE 131 I 113 E. 3.7.3). Zur Vornahme der Prüfung ist damit auf die vorhandenen Ak- ten abzustellen (vgl. auch BSK ZPO-Rüegg, Art. 117 N 20).</w:t>
      </w:r>
    </w:p>
    <w:p>
      <w:r>
        <w:rPr>
          <w:b/>
        </w:rPr>
        <w:t>E. 2.8</w:t>
      </w:r>
    </w:p>
    <w:p>
      <w:r>
        <w:t>Die Unterhaltspflicht der Eltern dauert auch nach der Mündigkeit des Kindes grundsätzlich bis zum Abschluss einer ordentlichen Ausbildung weiter (Art. 277 Abs. 2 ZGB). Als ordentliche Ausbildung gilt insbesondere die Ab- solvierung eines Studiums (vgl. zum Ganzen BGE 114 II 205; BGE 111 II</w:t>
      </w:r>
    </w:p>
    <w:p>
      <w:r>
        <w:t>- 6 - 413 S. 417; BSK ZGB I-Breitschmid, Art. 277 N 12 und 22; Hegnauer in: BK- ZGB, Bd. II/2/2/1, Die Gemeinschaft der Eltern und Kinder, Die Unterhalts- pflicht der Eltern, Art. 270 - 295 ZGB, Bern 1997, Art. 277 N 67 ff.). Die Ge- suchstellerinnen haben davon abgesehen, ihre Behauptung, sie befänden sich noch in Ausbildungen, weshalb die Unterhaltspflicht auch nach Eintritt der Mündigkeit weiterbestehe, glaubhaft darzulegen. Blosse Behauptungen reichen für die Begründung des Erfordernisses der fehlenden Aussichtslo- sigkeit nicht aus. Damit sind die Gesuchstellerinnen ihrer Mitwirkungspflicht nicht nachgekommen, weshalb das Gesuch auch aus diesem Grunde abzu- weisen ist.</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