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VO120187 vom 14. Dezember 2012</w:t>
      </w:r>
    </w:p>
    <w:p>
      <w:r>
        <w:t>ZH Obergericht, 2012-12-14, DE</w:t>
      </w:r>
    </w:p>
    <w:p>
      <w:r>
        <w:rPr>
          <w:b/>
        </w:rPr>
        <w:t xml:space="preserve">Quelle: </w:t>
      </w:r>
      <w:r>
        <w:t>https://mcp.opencaselaw.ch/entscheid/zh_obergericht_VO120187</w:t>
      </w:r>
    </w:p>
    <w:p>
      <w:r>
        <w:t>FR: ZH_OBERGERICHT VO120187 du 14 décembre 2012</w:t>
      </w:r>
    </w:p>
    <w:p>
      <w:r>
        <w:t>IT: ZH_OBERGERICHT VO120187 del 14 dicembre 2012</w:t>
      </w:r>
    </w:p>
    <w:p>
      <w:pPr>
        <w:pStyle w:val="Heading2"/>
      </w:pPr>
      <w:r>
        <w:t>Erwägungen</w:t>
      </w:r>
    </w:p>
    <w:p>
      <w:r>
        <w:rPr>
          <w:b/>
        </w:rPr>
        <w:t>E. 1</w:t>
      </w:r>
    </w:p>
    <w:p>
      <w:r>
        <w:t>Ausgangslage</w:t>
      </w:r>
    </w:p>
    <w:p>
      <w:r>
        <w:rPr>
          <w:b/>
        </w:rPr>
        <w:t>E. 1.1</w:t>
      </w:r>
    </w:p>
    <w:p>
      <w:r>
        <w:t>Mit Eingabe vom 12. Dezember 2012 liess A._____ (nachfolgend: Gesuch- steller) beim Obergericht des Kantons Zürich um die Gewährung der unent- geltlichen Rechtspflege für ein Schlichtungsverfahren vor dem Friedensrich- teramt B._____ ersuchen. Gleichzeitig liess er die Bestellung eines unent- geltlichen Rechtsbeistandes in der Person von Rechtsanwalt lic. iur. X._____ beantragen (act. 1). Die Klage richtet sich gegen C._____ und be- trifft die Verlängerung der Unterhaltspflicht gemäss Art. 277 Abs. 2 ZGB (act. 3/2).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weshalb der Obergerichtspräsident diese bei Vor- liegen der Anspruchsvoraussetzungen nur bis zum Abschluss des Schlich- tungsverfahrens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w:t>
      </w:r>
    </w:p>
    <w:p>
      <w:r>
        <w:t>- 4 -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 Konkret sind deshalb die finanziellen Verhältnisse der Mutter des Gesuch- stellers in die Beurteilung seiner Mittellosigkeit einzubeziehen.</w:t>
      </w:r>
    </w:p>
    <w:p>
      <w:r>
        <w:rPr>
          <w:b/>
        </w:rPr>
        <w:t>E. 2.6</w:t>
      </w:r>
    </w:p>
    <w:p>
      <w:r>
        <w:t>Der Gesuchsteller absolviert zurzeit eine Lehre als … und verdient dabei monatlich Fr. 900.- brutto (act. 3/1). Sodann macht er geltend, er sei vermö- genslos (act. 1 S. 2), Belege hierzu fehlen indes. Gleichermassen befinden sich in den Akten keine Belege zu seinen notwendigen Lebenshaltungskos- ten. Dem Schlichtungsgesuch kann diesbezüglich einzig entnommen wer- den, dass der Gesuchsteller bei seiner Mutter wohnt und teilweise von ihr verpflegt wird (act. 3/2 S. 3). Wie erwogen ist, es Aufgabe der gesuchstel- lenden Person, den Nachweis der Mittellosigkeit zu erbringen und damit die Einkommens- und Vermögensverhältnisse sowie die notwendigen Lebens- haltungskosten offenzulegen und zu belegen (Entscheid des Bundesgerichts 4A_87/2007 E. 2.1; Emmel, a.a.O., Art. 119 N 6). Diese Mitwirkungspflicht ist umfassend. Aufgrund der Tatsache, dass sich der Gesuchsteller bereits im dritten Lehrjahr befindet (act. 1 S. 2), kann nicht ausgeschlossen werden, dass er gewisse Ersparnisse anhäufen konnte, zumal er Kost - zumindest teilweise - und Logis von der Mutter erhält. Mangels Kenntnis der relevanten finanziellen Verhältnisse ist es dem Obergerichtspräsidenten nicht möglich, die Bedürftigkeit des Gesuchstellers abschliessend zu beurteilen, weshalb das Gesuch um unentgeltliche Rechtspflege bereits aus diesem Grund ab- zuweisen ist.</w:t>
      </w:r>
    </w:p>
    <w:p>
      <w:r>
        <w:t>- 5 -</w:t>
      </w:r>
    </w:p>
    <w:p>
      <w:r>
        <w:rPr>
          <w:b/>
        </w:rPr>
        <w:t>E. 2.7</w:t>
      </w:r>
    </w:p>
    <w:p>
      <w:r>
        <w:t>Wie dargelegt, sind auch die finanziellen Verhältnisse der Mutter in die Beur- teilung des Gesuchs miteinzubeziehen, da die Unterhaltspflicht der Eltern nach der Mündigkeit des Kindes grundsätzlich bis zum Abschluss einer or- dentlichen Ausbildung weiterdauert (Art. 277 Abs. 2 ZGB). Die Leistung von Prozesskostenvorschüssen gehört ebenfalls zur Unterhaltspflicht (BSK ZGB I-Breitschmid, Art. 276 N 26) und besteht unabhängig von weiteren Unter- haltsleistungen. Der rechtskundig vertretene Gesuchsteller hat davon abge- sehen, sich zum Einkommen, Vermögen und zu den notwendigen Lebens- haltungskosten der Mutter zu äussern und diese zu belegen. Da er damit seiner Mitwirkungspflicht nicht nachgekommen ist, ist das Gesuch auch aus diesem Grund abzuweisen.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