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VO120160 vom 7. November 2012</w:t>
      </w:r>
    </w:p>
    <w:p>
      <w:r>
        <w:t>ZH Obergericht, 2012-11-07, DE</w:t>
      </w:r>
    </w:p>
    <w:p>
      <w:r>
        <w:rPr>
          <w:b/>
        </w:rPr>
        <w:t xml:space="preserve">Quelle: </w:t>
      </w:r>
      <w:r>
        <w:t>https://mcp.opencaselaw.ch/entscheid/zh_obergericht_VO120160</w:t>
      </w:r>
    </w:p>
    <w:p>
      <w:r>
        <w:t>FR: ZH_OBERGERICHT VO120160 du 7 novembre 2012</w:t>
      </w:r>
    </w:p>
    <w:p>
      <w:r>
        <w:t>IT: ZH_OBERGERICHT VO120160 del 7 novembre 2012</w:t>
      </w:r>
    </w:p>
    <w:p>
      <w:pPr>
        <w:pStyle w:val="Heading2"/>
      </w:pPr>
      <w:r>
        <w:t>Erwägungen</w:t>
      </w:r>
    </w:p>
    <w:p>
      <w:r>
        <w:rPr>
          <w:b/>
        </w:rPr>
        <w:t>E. 1</w:t>
      </w:r>
    </w:p>
    <w:p>
      <w:r>
        <w:t>Ausgangslage</w:t>
      </w:r>
    </w:p>
    <w:p>
      <w:r>
        <w:rPr>
          <w:b/>
        </w:rPr>
        <w:t>E. 1.1</w:t>
      </w:r>
    </w:p>
    <w:p>
      <w:r>
        <w:t>Mit Eingabe vom 2. November 2012 liess A._____ (nachfolgend: Gesuch- stellerin) durch ihre Rechtsvertreterin beim Obergericht des Kantons Zürich für das Schlichtungsverfahren in Mietsachen vor dem Bezirksgericht Bülach (MM120108) um Bestellung einer unentgeltlichen Rechtsbeiständin in der Person von lic. iur. X._____ ersuchen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Die Gesuchstellerin lässt ihr Gesuch um unentgeltliche Rechtspflege zu Recht auf die Bestellung einer unentgeltlichen Rechtsverbeiständung be- schränken, da Streitigkeiten aus Miete und Pacht von Wohn- und Geschäfts- räumen im Schlichtungsverfahren kostenlos sind (Art. 113 Abs. 2 lit. c ZPO).</w:t>
      </w:r>
    </w:p>
    <w:p>
      <w:r>
        <w:rPr>
          <w:b/>
        </w:rPr>
        <w:t>E. 2.3</w:t>
      </w:r>
    </w:p>
    <w:p>
      <w:r>
        <w:t>Ein unentgeltlicher Rechtsbeistand wird bestellt, wenn die gesuchstellende Person nicht über die erforderlichen Mittel verfügt (sog. "Mittellosigkeit" oder "Bedürftigkeit"), ihr Rechtsbegehren nicht aussichtslos erscheint (Art. 117 ZPO) und die gerichtliche Bestellung zur Wahrung der Rechte der gesuch- stellenden Person notwendig ist (Art. 118 Abs. 1 lit. c ZPO).</w:t>
      </w:r>
    </w:p>
    <w:p>
      <w:r>
        <w:t>- 3 -</w:t>
      </w:r>
    </w:p>
    <w:p>
      <w:r>
        <w:rPr>
          <w:b/>
        </w:rPr>
        <w:t>E. 2.4</w:t>
      </w:r>
    </w:p>
    <w:p>
      <w:r>
        <w:t>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Als Lebensauf- wandkosten sind zu berücksichtigen der Grundbetrag, rechtlich geschuldete Unterhaltsbeiträge, Wohnkosten, obligatorische Versicherungen, Transport- kosten zum Arbeitsplatz, Steuern sowie Verpflichtungen gegenüber Dritten, wenn sie tatsächlich erfüllt werden (Emmel in: Kommentar zur Schweizeri- schen Zivilprozessordnung, Sutter-Somm/Hasenböhler/Leuenberger [Hrsg.], Zürich/Basel/Genf 2010, Art. 117 N 9). Massgebend sind die wirtschaftlichen Verhältnisse im Zeitpunkt der Gesuchstellung (Emmel, a.a.O., Art. 117 N 4).</w:t>
      </w:r>
    </w:p>
    <w:p>
      <w:r>
        <w:rPr>
          <w:b/>
        </w:rPr>
        <w:t>E. 2.5</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2.6</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t>- 4 -</w:t>
      </w:r>
    </w:p>
    <w:p>
      <w:r>
        <w:rPr>
          <w:b/>
        </w:rPr>
        <w:t>E. 2.7</w:t>
      </w:r>
    </w:p>
    <w:p>
      <w:r>
        <w:t>Die Gesuchstellerin lässt geltend machen, sie werde zurzeit von der Sozial- hilfe unterstützt und belegt dies mittels Unterstützungsbestätigung der Stadt B._____ (act. 4/1). Die Unterstützungsleistung beträgt Fr. 2'718.- pro Monat (act. 4/2). Zudem erhält sie Kinderzulagen sowie bevorschusste Unterhalts- beiträge von insgesamt Fr. 850.-. Hinsichtlich allfälliger Vermögenswerte hat es die Gesuchstellerin unterlassen, diese bzw. die Vermögenslosigkeit mit- tels Belegen wie Kontoauszügen nachzuweisen, weshalb sie insoweit ihrer Mitwirkungspflicht nicht nachgekommen ist. Grundsätzlich führt eine Verlet- zung dieser Pflicht - wie dargelegt - zur Abweisung des Gesuchs, können die finanziellen Verhältnisse nicht abschliessend beurteilt werden. Da die Gesuchstellerin vorliegend jedoch Sozialhilfe bezieht, ist davon auszugehen, dass allfälliges Vermögen von geringer Höhe ist und zur Deckung der Le- benshaltungskosten benötigt wird. Hinsichtlich der notwendigen Lebenshaltungskosten sind in der Bedarfs- rechnung mangels aktenkundigen familienrechtlichen Unterhaltszahlungen seitens des Vaters auch die Lebenshaltungskosten der minderjährigen Tochter zu berücksichtigen (BSK SchKG I-Vonder Mühll, Art. 93 N 24 und 35; DIKE-Kommentar, Huber, Art. 117 N 32). Die notwendigen Lebenshal- tungskosten für sich und das minderjährige Kind beziffert und belegt die Ge- suchstellerin wie folgt: Mietkosten Fr. 1'413.- pro Monat (act. 4/3), Heiz- und Nebenkosten rund Fr. 35.- pro Monat (act. 4/5), Krankenkassenprämien KVG Gesuchstellerin Fr. 387.50 pro Monat (act. 4/4) sowie Krankenkassen- prämien KVG minderjährige Tochter Fr. 17.30 pro Monat (inkl. Prämienver- billigung; act. 4/2 und act. 4/4). Die Kosten für Telefon, Radio und TV sind bereits im Grundbetrag enthalten und können nicht zusätzlich berücksichtigt werden (DIKE-Kommentar, Huber, Art. 117 N 49). Unter Berücksichtigung des Grundbetrags für sich und die Tochter kann die Gesuchstellerin bei die- sen finanziellen Verhältnissen (Einkommen: Fr. 3'568.-, kein Vermögen, Notbedarf: Fr. 3'802.80) nicht angehalten werden, die im Zusammenhang mit dem Schlichtungsverfahren anfallenden Kosten der Vertretung selbst zu begleichen. Die Bedürftigkeit der Gesuchstellerin ist damit ausgewiesen.</w:t>
      </w:r>
    </w:p>
    <w:p>
      <w:r>
        <w:t>- 5 -</w:t>
      </w:r>
    </w:p>
    <w:p>
      <w:r>
        <w:rPr>
          <w:b/>
        </w:rPr>
        <w:t>E. 2.8</w:t>
      </w:r>
    </w:p>
    <w:p>
      <w:r>
        <w:t>Für die Beurteilung der fehlenden Aussichtslosigkeit als zweite Vorausset- zung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 ren und die deshalb kaum als ernsthaft bezeichnet werden können (vgl. z.B. BGE 69 I 160). Zu prüfen ist, ob der geltend gemachte Anspruch aus den behaupteten Tatsachen rechtlich begründet ist. Die Prozesschancen sind in vorläufiger und summarischer Prüfung der Sach- und Rechtslage aufgrund des jeweiligen Aktenstandes zu beurteilen (BGE 131 I 113 E. 3.7.3). Zur Vornahme der Prüfung ist damit auf die vorhandenen Akten abzustellen (vgl. auch BSK ZPO-Rüegg, Art. 117 N 20).</w:t>
      </w:r>
    </w:p>
    <w:p>
      <w:r>
        <w:rPr>
          <w:b/>
        </w:rPr>
        <w:t>E. 2.9</w:t>
      </w:r>
    </w:p>
    <w:p>
      <w:r>
        <w:t>Nach Art. 266c OR können die Parteien Mietwohnungen mit einer Frist von drei Monaten auf einen ortsüblichen Termin oder, wenn es keinen Ortsge- brauch gibt, auf Ende einer dreimonatigen Mietdauer kündigen. Die Kündi- gung ist auf Verlangen zu begründen und anfechtbar, wenn sie gegen Treu und Glauben verstösst (Art. 271 OR). Zur Begründung des Begehrens in der Hauptsache lässt die Gesuchstellerin im Gesuch ausführen, der Vermieter habe ihr ohne Grund die Kündigung des Mietverhältnisses ausgesprochen, nachdem sie sich bei diesem über das Verhalten eines an Suchtproblemen leidenden Mitmieters beschwert habe (act. 1 S. 2). Die Gesuchstellerin hat davon abgesehen, ihr Rechtsbegehren in der Hauptsache nachvollziehbar zu begründen und mittels Dokumenten ausreichend zu belegen. So ergeht aus ihren Ausführungen nicht mit hinreichender Klarheit, weshalb die Kündi- gung nicht rechtmässig ausgesprochen worden sein soll. Insbesondere ist unklar, ob sie rügen möchte, der Vermieter habe die Kündigung in Verlet- zung seiner Pflicht nicht hinreichend begründet oder ob sie vielmehr geltend machen möchte, er habe ihr grundlos gekündigt. Nicht klar ist sodann auch die Rolle des Mitmieters. So geht aus den Akten nicht hervor, ob es sich um eine in der Wohnung der Gesuchstellerin wohnhafte Person handelt oder um einen weiteren Mieter im selben Wohnobjekt. Nicht nachvollziehbar ist ferner der Zusammenhang zwischen dem Verhalten des Mitmieters und der Kündi-</w:t>
      </w:r>
    </w:p>
    <w:p>
      <w:r>
        <w:t>- 6 - gung des Mietverhältnisses zwischen dem Vermieter und der Gesuchstelle- rin. Weder hat die Gesuchstellerin das Kündigungsschreiben des Vermieters ins Recht gereicht, noch hat sie dargelegt, ob und - falls ja - weshalb der Mitmieter im Konkreten Auslöser und Grund für die Kündigung des Vermie- ters gewesen sein soll. Gestützt auf die ins Recht gereichten Unterlagen kann nicht davon ausgegangen werden, die Gewinnaussichten des Pro- zessbegehrens seien beträchtlich wahrscheinlicher als die Verlustgefahren. Das Gesuch ist daher ohne Weiterungen abzuweisen. Der Gesuchstellerin ist es jedoch unbenommen, bei einem allfälligen Verfahren vor Bezirksge- richt erneut um die unentgeltliche Rechtspflege zu ersuchen. Von einer Prü- fung der weiteren Voraussetzung der Notwendigkeit einer unentgeltlichen Rechtsverbeiständung kann unter diesen Umständen abgesehen werden.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