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VO120124 vom 6. September 2012</w:t>
      </w:r>
    </w:p>
    <w:p>
      <w:r>
        <w:t>ZH Obergericht, 2012-09-06, DE</w:t>
      </w:r>
    </w:p>
    <w:p>
      <w:r>
        <w:rPr>
          <w:b/>
        </w:rPr>
        <w:t xml:space="preserve">Quelle: </w:t>
      </w:r>
      <w:r>
        <w:t>https://mcp.opencaselaw.ch/entscheid/zh_obergericht_VO120124</w:t>
      </w:r>
    </w:p>
    <w:p>
      <w:r>
        <w:t>FR: ZH_OBERGERICHT VO120124 du 6 septembre 2012</w:t>
      </w:r>
    </w:p>
    <w:p>
      <w:r>
        <w:t>IT: ZH_OBERGERICHT VO120124 del 6 settembre 2012</w:t>
      </w:r>
    </w:p>
    <w:p>
      <w:pPr>
        <w:pStyle w:val="Heading2"/>
      </w:pPr>
      <w:r>
        <w:t>Erwägungen</w:t>
      </w:r>
    </w:p>
    <w:p>
      <w:r>
        <w:rPr>
          <w:b/>
        </w:rPr>
        <w:t>E. 1</w:t>
      </w:r>
    </w:p>
    <w:p>
      <w:r>
        <w:t>Ausgangslage</w:t>
      </w:r>
    </w:p>
    <w:p>
      <w:r>
        <w:rPr>
          <w:b/>
        </w:rPr>
        <w:t>E. 1.1</w:t>
      </w:r>
    </w:p>
    <w:p>
      <w:r>
        <w:t>Mit Eingabe vom 26. Juli 2012 liess A._____ (nachfolgend: Gesuchsteller) durch seine Rechtsvertreterin beim Friedensrichteramt B._____ eine Klage betreffend Abänderung Unterhalt gegen C._____ einreichen und um Gewäh- rung der unentgeltlichen Prozessführung ersuchen (act. 4/1).</w:t>
      </w:r>
    </w:p>
    <w:p>
      <w:r>
        <w:rPr>
          <w:b/>
        </w:rPr>
        <w:t>E. 1.2</w:t>
      </w:r>
    </w:p>
    <w:p>
      <w:r>
        <w:t>Mit Eingabe vom 29. August 2012 liess der Gesuchsteller sodann beim Obergericht des Kantons Zürich den Antrag stellen, es sei ihm für das beim Friedensrichteramt eingeleitete Verfahren die unentgeltliche Rechtspflege zu gewähren und in der Person von Rechtsanwältin lic. iur. X._____ eine un- entgeltliche Rechtsbeiständin zu bestellen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w:t>
      </w:r>
    </w:p>
    <w:p>
      <w:r>
        <w:t>- 3 -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Der in zweiter Ehe lebende Gesuchsteller lässt geltend machen, nachdem er von der Arbeitslosenkasse habe unterstützt werden müssen, befinde er sich seit dem 15. Juni 2012 wieder in einer Vollzeitanstellung. Dabei verdiene er brutto Fr. 4'500.- pro Monat (act. 1 S. 3). Gemäss der ins Recht gereichten Lohnabrechnung verdient der Gesuchsteller monatlich netto Fr. 3'870.-, zu- züglich Fr. 200.- Verpflegungspauschale, wobei ihm wiederum Fr. 184.- pro Monat für die Verpflegung am Arbeitsort abgezogen werden. Insgesamt be- laufen sich die Einkünfte des Gesuchstellers somit auf Fr. 3'886.- netto pro Monat (vgl. act. 4/19 und act. 4/20). Das Einkommen der Ehegattin betrug im Jahre 2011 Fr. 2'530.- pro Monat, aktuelle Angaben hierzu sind nicht ak- tenkundig (act. 4/1 S. 4). Über Vermögen verfügt der Gesuchsteller sodann den eigenen Angaben zufolge nicht (act. 1 S. 6). Zudem bestehen offene Betreibungen von über Fr. 60'000.- (act. 4/30). Die notwendigen Lebenshal- tungskosten für sich und seine Gattin beziffert und belegt der Gesuchsteller sodann wie folgt: Mietzins Fr. 1'714.- pro Monat (act. 4/22), Krankenkasse Fr. 206.- pro Monat (act. 4/23, unklar, ob nur Kosten nach KVG, gemäss www.provita.ch aber angemessen), Krankenkasse KVG Ehegattin Fr. 193.60 pro Monat (act. 4/23), Haushalt-/Haftpflichtversicherung Fr. 18.- pro Monat (act. 4/24), Kosten Arbeitsweg Fr. 331.- pro Monat (vgl. auch act. 4/21), Steuern Fr. 200.- pro Monat (vgl. act. 4/1 S. 4, nicht ausgewiesen, aber angemessen), Unterhaltsleistungen an den Sohn D._____ von Fr. 1'000.- pro Monat sowie an die geschiedene Frau von Fr. 300.- pro Mo- nat (act. 1 S. 4, act. 4/21). Im Weiteren hat der Gesuchsteller Unterhaltsleis- tungen an die Beklagte in der Hauptsache von Fr. 1'000.- pro Monat zu leis- ten (act. 1 S. 5). Die Kosten für Telefon, Radio und TV sind bereits im Grundbetrag enthalten und können nicht zusätzlich berücksichtigt werden (DIKE-Kommentar, Huber, Art. 117 N 49). Der als "Sonstiges" geltend ge- machte Betrag von Fr. 60.- ist sodann nicht ausgewiesen und findet damit keinen Eingang in die Bedarfsrechnung des Gesuchstellers. Unter Berück- sichtigung des Grundbetrags für sich und die Ehegattin kann bei diesen fi-</w:t>
      </w:r>
    </w:p>
    <w:p>
      <w:r>
        <w:t>- 5 - nanziellen Verhältnissen (Einkünfte: Fr. 6'416.-, Notbedarf: Fr. 6'662.60) we- der der Gesuchsteller selbst die Kosten des Schlichtungsverfahrens tragen, noch kann die Ehegattin angehalten werden, gestützt auf Art. 159 und Art. 163 ZGB die Kosten des Verfahrens zu begleichen. Die Bedürftigkeit ist damit ausgewiesen.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Gemäss Art. 286 Abs. 2 ZGB setzt das Gericht den Unterhaltsbeitrag bei er- heblicher Veränderung der Verhältnisse auf Antrag eines Elternteils oder des Kindes neu fest oder hebt ihn auf. Die rechtshängig gemachte Abände- rungsklage des Gesuchstellers gegen seine Tochter kann aus heutiger Per- spektive nicht als aussichtslos bezeichnet werden, zumal sich sein monatli- ches Einkommen seit dem Abschluss der Scheidungskonvention vom 22. November 2005 von monatlich netto Fr. 6'280.- (act. 4/4) auf rund Fr. 3'886.- (act. 4/19) reduziert hat. Selbst wenn sich der Gesuchsteller allenfalls ein hypothetisches Einkommen anrechnen lassen muss (act. 4/21 S. 18), so kann eine erhebliche Veränderung der Verhältnisse im jetzigen Zeitpunkt nicht ausgeschlossen werden.</w:t>
      </w:r>
    </w:p>
    <w:p>
      <w:r>
        <w:rPr>
          <w:b/>
        </w:rPr>
        <w:t>E. 2.8</w:t>
      </w:r>
    </w:p>
    <w:p>
      <w:r>
        <w:t>Folglich kann dem Antrag des Gesuchstellers entsprochen werden und ist ihm für das Schlichtungsverfahren vor dem Friedensrichteramt B._____ be- treffend oberwähnte Abänderungsklage die unentgeltliche Rechtspflege zu gewähren.</w:t>
      </w:r>
    </w:p>
    <w:p>
      <w:r>
        <w:t>- 6 -</w:t>
      </w:r>
    </w:p>
    <w:p>
      <w:r>
        <w:rPr>
          <w:b/>
        </w:rPr>
        <w:t>E. 2.9</w:t>
      </w:r>
    </w:p>
    <w:p>
      <w:r>
        <w:t>Der Gesuchsteller lässt sodann die Bestellung einer unentgeltlichen Rechts- beiständin beantragen (act. 1). Ein Anspruch auf die gerichtliche Bestellung eines Rechtsbeistandes besteht im Wesentlichen dann, wenn dies zur Wahrung der Rechte notwendig ist (Art. 118 Abs. 1 lit. c ZPO). Wie dargelegt, bedarf es ganz besonderer Um- stände, damit die Bestellung eines Rechtsbeistandes im Schlichtungsverfah- ren als notwendig erscheint, d.h. es sind hohe Anforderungen an die Not- wendigkeit eines unentgeltlichen Rechtsvertreters zu stellen. Allgemein aus- gedrückt hat eine Partei dann Anspruch auf Verbeiständung, wenn ihre Inte- ressen in schwerwiegender Weise betroffen sind und der Fall in tatsächli- cher und rechtlicher Hinsicht Schwierigkeiten bietet, die den Beizug eines Rechtsvertreters erforderlich machen (so Emmel in Sutter-Somm/Hasen- böhler/Leuenberger, ZPO Kommentar, Zürich 2010, Art. 118 N 5). Solche besonderen Schwierigkeiten sind vorliegend zu verneinen, zumal gestützt auf die vorhandenen Akten keine Hinweise bestehen, es handle sich um ei- nen besonders komplexen Abänderungsprozess mit Schwierigkeiten in tat- sächlicher oder rechtlicher Hinsicht. Der Gesuchsteller lässt ausführen, sei- ne Rechtsunkundigkeit zeige sich bereits darin, dass er die Abänderungs- klage betreffend die Tochter ursprünglich fälschlicherweise mit jener der ehemaligen Gattin verbunden hätte und erst aufgrund des Hinweises des Bezirksgerichts Dietikon eine separate Klage eingeleitet habe (act. 1 S. 5, act. 4/28 S. 2). Dies vermag jedoch keine hinreichende Komplexität zu be- gründen, zumal ihn das Bezirksgericht explizit auf sein falsches Vorgehen aufmerksam machte und ihn darüber orientierte, dass Ansprüche gegen mündige Kinder nach der Durchführung eines obligatorischen Schlichtungs- verfahrens im vereinfachten Verfahren nach Art. 295 ZPO selbständig gel- tend zu machen seien (act. 4/28 S. 2). Im Weiteren bestehen keine Hinwei- se, die Beklagte in der Hauptsache sei anwaltlich vertreten. Das Gesuch um Bestellung einer unentgeltlichen Rechtsvertretung ist deshalb abzuweisen. Es ist dem Gesuchsteller jedoch unbenommen, mit Einreichung der Klage beim zuständigen Gericht erneut um Bestellung einer unentgeltlichen Rechtsverbeiständung zu ersuchen.</w:t>
      </w:r>
    </w:p>
    <w:p>
      <w:r>
        <w:t>- 7 -</w:t>
      </w:r>
    </w:p>
    <w:p>
      <w:r>
        <w:rPr>
          <w:b/>
        </w:rPr>
        <w:t>E. 3</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Stadt B._____. Zu beachten ist indes, dass die Kosten des Schlichtungsverfah- rens gemäss Art. 207 Abs. 2 ZPO bei der Einreichung der Klage zur Haupt- sache geschlagen werden und das erkennende Gericht somit in der Folge über diese zusammen mit den übrigen Prozesskosten gemäss Art. 104 ff. ZPO zu entscheiden hat. Die Kostenauflage an die Gemeinde erfolgt des- 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