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VO110159 vom 19. Januar 2012</w:t>
      </w:r>
    </w:p>
    <w:p>
      <w:r>
        <w:t>ZH Obergericht, 2012-01-19, DE</w:t>
      </w:r>
    </w:p>
    <w:p>
      <w:r>
        <w:rPr>
          <w:b/>
        </w:rPr>
        <w:t xml:space="preserve">Quelle: </w:t>
      </w:r>
      <w:r>
        <w:t>https://mcp.opencaselaw.ch/entscheid/zh_obergericht_VO110159</w:t>
      </w:r>
    </w:p>
    <w:p>
      <w:r>
        <w:t>FR: ZH_OBERGERICHT VO110159 du 19 janvier 2012</w:t>
      </w:r>
    </w:p>
    <w:p>
      <w:r>
        <w:t>IT: ZH_OBERGERICHT VO110159 del 19 gennaio 2012</w:t>
      </w:r>
    </w:p>
    <w:p>
      <w:pPr>
        <w:pStyle w:val="Heading2"/>
      </w:pPr>
      <w:r>
        <w:t>Erwägungen</w:t>
      </w:r>
    </w:p>
    <w:p>
      <w:r>
        <w:rPr>
          <w:b/>
        </w:rPr>
        <w:t>E. 1</w:t>
      </w:r>
    </w:p>
    <w:p>
      <w:r>
        <w:t>Ausgangslage</w:t>
      </w:r>
    </w:p>
    <w:p>
      <w:r>
        <w:rPr>
          <w:b/>
        </w:rPr>
        <w:t>E. 1.1</w:t>
      </w:r>
    </w:p>
    <w:p>
      <w:r>
        <w:t>Mit Eingabe vom 16. Dezember 2011 stellt der Gesuchsteller beim hiesigen Gericht ein Gesuch um unentgeltliche Prozessführung im Rahmen einer arbeits- rechtlichen Streitigkeit (Urk. 1).</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t>- 3 -</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rela- 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2.5</w:t>
      </w:r>
    </w:p>
    <w:p>
      <w:r>
        <w:t>Die unentgeltliche Rechtspflege ist sodann subsidiär zu anderen Ansprü- chen, die auch eine prozessuale Rechtsverfolgung umfassen, namentlich fami- lienrechtlichen Beistands- und Unterhaltspflichten (Art. 163 Abs. 1, Art. 159 Abs. 3, Art. 276 und Art. 277 Abs. 2 ZGB). Ehegatten untereinander und Eltern gegen- über unterhaltsberechtigten (unmündigen oder mündigen) Kindern sind grund- sätzlich zur Leistung eines Prozesskostenvorschusses sowohl in Prozessen ge- geneinander als auch gegen Dritte verpflichtet (Emmel, in: Kommentar zur Schweizerischen Zivilprozessordnung, Sutter-Somm/Hasenböhler/Leuenberger [Hrsg.], Zürich/Basel/ Genf 2010, Art. 117 N 5).</w:t>
      </w:r>
    </w:p>
    <w:p>
      <w:r>
        <w:rPr>
          <w:b/>
        </w:rPr>
        <w:t>E. 2.6</w:t>
      </w:r>
    </w:p>
    <w:p>
      <w:r>
        <w:t>Der Gesuchsteller macht einen Bedarf für sich und seine Ehefrau von je Fr. 4'566.15 bei einem Einkommen von je Fr. 4'200.– geltend (Urk. 1 S. 2). Für die Miete veranschlagt er für sich und seine Ehefrau je Fr. 1'538.30. Gemäss dem eingereichten Mietvertrag resp. dem eingereichten Formular zur Mitteilung von Mietzinsänderungen vom 7. Dezember 2010 beträgt die Miete insgesamt Fr. 1'538.30 (vgl. Urk. 2/17). Dieser Betrag ist nur einmal - im Bedarf eines Ehe- gatten - zu berücksichtigen. Für die Krankenkassenprämie veranschlagt der Ge-</w:t>
      </w:r>
    </w:p>
    <w:p>
      <w:r>
        <w:t>- 4 - suchsteller für sich und seine Ehefrau einen Betrag von Fr. 257.20 resp. 346.50, was den diesbezüglich eingereichten Unterlagen entspricht (Urk. 2/3-4). Für die Krankenkassenprämien der Kinder macht der Gesuchsteller einen Betrag von Fr. 153.40 geltend, wobei er diesen Betrag je bei sich und seiner Ehefrau veran- schlagt. Gemäss den eingereichten Unterlagen betragen die Krankenkassenprä- mien für die Kinder B._____ und C._____ je Fr. 76.70, was einem Betrag von ins- gesamt Fr. 153.40 entspricht (vgl. Urk. 2/5-6), weshalb dieser Betrag im Bedarf der Ehegatten nur einmal zu berücksichtigen ist. Für Berufsauslagen macht der Gesuchsteller einen Betrag von Fr. 120.– für sich und Fr. 88.– für seine Frau gel- tend und begründet dies damit, dass seine Frau keinen Fahrausweis habe und deshalb ein Monatsabonnement für die Zone … benötige. Er selber brauche das Auto, da er manchmal Nachtschicht habe und die öffentlichen Verkehrsmittel zu diesen Zeiten nicht verfügbar seien (Urk. 1 S. 3). Für die Hausrat- und Haftpflicht- versicherung veranschlagt der Gesuchsteller einen Betrag von je Fr. 395.10. Ge- mäss dem eingereichten Kontoauszug der … Versicherungen beträgt die Kombi- Hausratsversicherung Fr. 395.10, was einem monatlichen Betrag von Fr. 32.90 entspricht (vgl. Urk. 2/15). Auch dieser Betrag ist im Bedarf der Ehegatten nur einmal zu berücksichtigen. Für Unterhaltsbeiträge veranschlagt der Gesuchsteller monatlich je Fr. 1'000.–. Aus der eingereichten Steuererklärung für das Jahr 2010 geht indessen hervor, dass die Ehegatten im Jahr 2010 insgesamt einen Betrag von Fr. 1'490.– für Unterhaltsbeträge an minderjährige Kinder bezahlten (vgl. Urk. 2/16). Anderweitige Unterhaltsbeträge gehen aus den eingereichten Unterlagen nicht hervor. Es ist daher von einem monatlichen Betrag für Unterhaltskosten von insgesamt Fr. 124.15 auszugehen. Für Kinderhortkosten macht der Gesuchsteller einen Betrag von je Fr. 304.60 geltend, wiederum für sich und seine Ehefrau. Gemäss den eingereichten Unterlagen entspricht dieser Betrag den diesbezügli- chen Ausgaben für die Monate November und Dezember 2011, weshalb für die Kinderhortkosten einen Betrag von Fr. 152.30 zu veranschlagen und auch dieser nur bei einem Ehegatten zu berücksichtigen ist (vgl. Urk. 2/7). Für Kinderkrippen- kosten macht der Gesuchsteller einen Betrag von je Fr. 363.05 geltend, wobei er diese Beträge wiederum sowohl bei seinem Bedarf als auch bei demjenigen sei- ner Ehefrau aufführt. Dieser Betrag entspricht den eingereichten Unterlagen (vgl.</w:t>
      </w:r>
    </w:p>
    <w:p>
      <w:r>
        <w:t>- 5 - Urk. 2/10), ist jedoch wiederum nur beim Bedarf eines Ehegatten zu berücksichti- gen. Insgesamt ist folglich von einem Bedarf der Ehegatten von Fr. 3'236.20 aus- zugehen.</w:t>
      </w:r>
    </w:p>
    <w:p>
      <w:r>
        <w:rPr>
          <w:b/>
        </w:rPr>
        <w:t>E. 2.7</w:t>
      </w:r>
    </w:p>
    <w:p>
      <w:r>
        <w:t>Diesem Bedarf stehen folgende Einkommen der Ehegatten gegenüber: Wie bereits erwähnt (vgl. Ziff. 2.5 vorstehend), veranschlagt der Gesuchsteller für sich und seine Ehefrau ein Einkommen von je Fr. 4'200.– (Urk. 1 S. 2). Den einge- reichten Unterlagen ist indessen zu entnehmen, dass das Einkommen der Ehe- frau des Gesuchstellers Fr. 1'512.60 beträgt (Auszahlung im Oktober 2011 der Arbeitslosenkasse; Urk. 2/12). Beim Gesuchsteller ist gemäss den eingereichten Unterlagen von einem Monatslohn von Fr. 2'492.80 bei einem Nettostundenlohn Fr. 19.19 und durchschnittlich 30 Stunden pro Woche auszugehen (Urk. 2/13). Dem gemeinsamen Bedarf der Ehegatten von Fr. 3'236.20 stehen somit Einkom- men der Ehegatten von insgesamt Fr. 4'005.40 gegenüber.</w:t>
      </w:r>
    </w:p>
    <w:p>
      <w:r>
        <w:rPr>
          <w:b/>
        </w:rPr>
        <w:t>E. 2.8</w:t>
      </w:r>
    </w:p>
    <w:p>
      <w:r>
        <w:t>Für Schulden veranschlagt der Gesuchsteller einen Betrag von Fr. 556.25 (… und …; vgl. auch Urk. 2/9 und 2/16). Diesbezüglich ist auf die Rechtsprechung des Bundesgerichts hinzuweisen, wonach die gewöhnliche Tilgung angehäufter Schulden bei der Beurteilung der Bedürftigkeit grundsätzlich ausser Betracht bleibt, da die unentgeltliche Rechtspflege nicht dazu dienen soll, auf Kosten des Gemeinwesens Gläubiger zu befriedigen, die nicht oder nicht mehr zum Lebens- unterhalt beitragen (Bundesgerichtsurteile 2P.90/1997 vom 7. November 1997 E. 3d; 5P.356/1996 vom 6. November 1996 E. 8a/aa). Schliesslich verfügt der Ge- suchsteller per 14. Dezember 2011 über ein Vermögen von Fr. 2'054.31 (Urk. 2/14).</w:t>
      </w:r>
    </w:p>
    <w:p>
      <w:r>
        <w:rPr>
          <w:b/>
        </w:rPr>
        <w:t>E. 2.9</w:t>
      </w:r>
    </w:p>
    <w:p>
      <w:r>
        <w:t>Insgesamt resultiert somit ein monatlicher Überschuss von rund Fr. 769.– (Einkommen von Fr. 4'005.40 - Bedarf von Fr. 3'236.20), was ohne weiteres ge- nügt, um die Kosten eines Schlichtungsverfahrens innert nützlicher Frist zu be- zahlen.</w:t>
      </w:r>
    </w:p>
    <w:p>
      <w:r>
        <w:rPr>
          <w:b/>
        </w:rPr>
        <w:t>E. 2.10</w:t>
      </w:r>
    </w:p>
    <w:p>
      <w:r>
        <w:t>Das vorliegende Gesuch um unentgeltliche Rechtspflege ist deshalb man- gels Bedürftigkeit abzuweisen. Die Prüfung der zweiten Anspruchsvoraussetzung, der fehlenden Aussichtslosigkeit des Begehrens in der Hauptsache, kann unter</w:t>
      </w:r>
    </w:p>
    <w:p>
      <w:r>
        <w:t>- 6 - diesen Voraussetzungen unterbleiben. Dem Gesuchsteller ist es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Ziff. 1 ZPO und fungiert nicht als obere kantonale Instanz gegen de- 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unentgeltlicher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