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VB260004 vom 4. März 2026</w:t>
      </w:r>
    </w:p>
    <w:p>
      <w:r>
        <w:t>ZH Obergericht, 2026-03-04, DE</w:t>
      </w:r>
    </w:p>
    <w:p>
      <w:r>
        <w:rPr>
          <w:b/>
        </w:rPr>
        <w:t xml:space="preserve">Quelle: </w:t>
      </w:r>
      <w:r>
        <w:t>https://mcp.opencaselaw.ch/entscheid/zh_obergericht_VB260004</w:t>
      </w:r>
    </w:p>
    <w:p>
      <w:r>
        <w:t>FR: ZH_OBERGERICHT VB260004 du 4 mars 2026</w:t>
      </w:r>
    </w:p>
    <w:p>
      <w:r>
        <w:t>IT: ZH_OBERGERICHT VB260004 del 4 marzo 2026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Januar 2026 und stellte die folgenden Anträge (act. 1): "1. Es sei Dispositiv-Ziff. 4 des Urteils vom 20. Januar 2026 des Be- zirksgerichts Meilen Geschäfts-Nr.: CP230005 aufzuheben. 2. Es sei der Erbenvertreter B._____ von seinen Aufgaben zu entbin- den 3. Eventualiter seien anderweitige angemessene Disziplinarmassnah- men gegen den Erbenvertreter B._____ zu erlassen. 4. Unter Kosten- und Entschädigungsfolge (zuzüglich Mehrwert- steuer) zulasten von Herrn B._____ als Privatperson."</w:t>
      </w:r>
    </w:p>
    <w:p>
      <w:r>
        <w:t>- 4 - Die Beschwerde wurde der Verwaltungskommission des Obergerichts des Kantons Zürich übermittelt, welche das vorliegende Verfahren eröffnete und einzelne Aktenstücke der Akten Geschäfts-Nr. CP230005-G beizog (act. 5, act. 6/1-5). II. 1. Gemäss bundesgerichtlicher Rechtsprechung handelt es sich bei Anordnun- gen über die Erbenvertretung um vorsorgliche Massnahmen, welche im sum- marischen Verfahren zu behandeln sind (Art. 248 lit. d ZPO). Dies gilt auch für Entscheide im Zusammenhang mit diesem Amt (Entscheid des Bundes- gerichts 5A_130/2020 vom 28. September 2020, E. 1.2 m.w.H.). Erbenvertre- ter stehen unter der Aufsicht der ernennenden Behörde (Art. 595 Abs. 3 ZGB i.V.m. Art. 54 SchlT ZGB i.V.m. § 139 GOG). Als ernennende Behörde gilt grundsätzlich das Einzelgericht gemäss § 137 lit. h GOG. Die Einsetzung des Erbenvertreters kann indes auch als vorsorgliche Massnahme im Teilungs- prozess selbst durch das Erbteilungsgericht als Kollegialgericht erfolgen (Ent- scheid der I. Zivilkammer OG ZH vom 18. Juli 2019, Geschäfts-Nr. LB190023- O, E. 4.3.2). Die Aufsicht hat in diesen Fällen durch das Erbteilungsgericht als ernennende Behörde im Sinne von § 139 Abs. 1 GOG zu erfolgen. Das auf- sichtsrechtliche Verfahren richtet sich nach §§ 83 und 84 GOG (§ 85 GOG). Es gilt die einfache Untersuchungsmaxime. Die Vorschriften der Zivilprozess- ordnung sind sinngemäss anwendbar (vgl. § 83 Abs. 3 GOG). 2. Erstinstanzliche Aufsichtsentscheide können innert zehn Tagen mit Aufsichts- beschwerde beim Obergericht angefochten werden; die Bestimmungen von Art. 319 ff. ZPO sind sinngemäss anwendbar (§ 84 GOG). Gemäss langjähri- ger Praxis des Obergerichts obliegt die Zuständigkeit hierfür den Zivilkam- mern (Urteil der II. Zivilkammer OG ZH vom 24. November 2025, Geschäfts- Nr. PF250040-O, E. 1.2 und 2.4; Urteil der II. Zivilkammer OG ZH vom 26. Ja- nuar 2024, Geschäfts-Nr. PF230045-O, E. II.1.2 f.; Urteil der II. Zivilkammer OG ZH vom 28. September 2021, Geschäfts-Nr. LF210043-O, E. 2.2; ZR 107/2008 Nr. 26; ZR 91/92 1992-1993 Nr. 46; Picenoni, Der Erbenvertre-</w:t>
      </w:r>
    </w:p>
    <w:p>
      <w:r>
        <w:t>- 5 - ter nach Art. 602 Abs. 3 ZGB, Zürich/Basel/Genf 2004, S. 194). Der Weiterzug ans Bundesgericht erfolgt dementsprechend auch mit Beschwerde in Zivilsa- chen (BSK ZGB II-Leu/Brugger, Art. 595 N 36). Demzufolge fehlt es vorlie- gend an einer Zuständigkeit der Verwaltungskommission zur Behandlung der Beschwerde und ist die Eingabe den Zivilkammern des Obergerichts des Kan- tons Zürich zur weiteren Behandlung zu überweisen.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