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VB260001 vom 9. Februar 2026</w:t>
      </w:r>
    </w:p>
    <w:p>
      <w:r>
        <w:t>ZH Obergericht, 2026-02-09, DE</w:t>
      </w:r>
    </w:p>
    <w:p>
      <w:r>
        <w:rPr>
          <w:b/>
        </w:rPr>
        <w:t xml:space="preserve">Quelle: </w:t>
      </w:r>
      <w:r>
        <w:t>https://mcp.opencaselaw.ch/entscheid/zh_obergericht_VB260001</w:t>
      </w:r>
    </w:p>
    <w:p>
      <w:r>
        <w:t>FR: ZH_OBERGERICHT VB260001 du 9 février 2026</w:t>
      </w:r>
    </w:p>
    <w:p>
      <w:r>
        <w:t>IT: ZH_OBERGERICHT VB260001 del 9 febbraio 2026</w:t>
      </w:r>
    </w:p>
    <w:p>
      <w:pPr>
        <w:pStyle w:val="Heading2"/>
      </w:pPr>
      <w:r>
        <w:t>Erwägungen</w:t>
      </w:r>
    </w:p>
    <w:p>
      <w:r>
        <w:rPr>
          <w:b/>
        </w:rPr>
        <w:t>E. 1</w:t>
      </w:r>
    </w:p>
    <w:p>
      <w:r>
        <w:t>Am Bezirksgericht C._____ ist zurzeit das Verfahren Geschäfts-Nr. ... in Sa- chen A._____ als Klägerin (fortan: Anzeigeerstatterin) und der D._____ AG als Beklagte betreffend arbeitsrechtliche Forderung hängig. Im Rahmen die- ses Verfahrens wurde der dortigen Beklagten mit Beschluss vom 3. Septem- ber 2025 eine Frist von 20 Tagen zur Erstattung der schriftlichen Klageantwort angesetzt (act. 5/16). In der Folge ersuchte der Rechtsvertreter der Beklagten zwei Mal um Fristerstreckung, welche Gesuche das Bezirksgericht geneh- migte (act. 5/18-19). Mit Eingabe vom 15. November 2025 stellte die Anzei- geerstatterin beim Bezirksgericht einen Antrag auf Nichtbewilligung des zwei- ten Fristerstreckungsgesuchs der Beklagten (act. 5/20). Das Bezirksgericht nahm die Eingabe als Begehren um Begründung der in dieser Sache bereits am 13. November 2025 erlassenen Verfügung entgegen und fällte ebenfalls am 13. November 2025 einen begründeten Entscheid. Darin erstreckte es der beklagten Partei die mit Beschluss vom 3. September 2025 angesetzte und mit Verfügung vom 14. Oktober 2025 erstreckte Frist zur Erstattung der schriftlichen Klageantwort letztmals bis zum 12. Dezember 2025 (act. 5/21).</w:t>
      </w:r>
    </w:p>
    <w:p>
      <w:r>
        <w:rPr>
          <w:b/>
        </w:rPr>
        <w:t>E. 1.1</w:t>
      </w:r>
    </w:p>
    <w:p>
      <w:r>
        <w:t>Im Verfahren betreffend administrative Aufsichtsbeschwerde sind gemäss gängiger Praxis des Obergerichts von der anzeigeerstattenden Person keine Kosten zu erheben, sofern die Beschwerde nicht mutwillig erhoben wurde (§ 83 Abs. 3 GOG i.V.m. Art. 104 ff. ZPO, insb. Art. 108 ZPO). Ebenso wenig kommt eine Kostenauflage zulasten der Beschwerdegegnerin in Frage (Art. 116 ZPO i.V.m. § 200 lit. b GOG; Hauser/Schweri/Lieber, a.a.O., § 83 N 25). Die Kosten fallen daher ausser Ansatz.</w:t>
      </w:r>
    </w:p>
    <w:p>
      <w:r>
        <w:rPr>
          <w:b/>
        </w:rPr>
        <w:t>E. 1.2</w:t>
      </w:r>
    </w:p>
    <w:p>
      <w:r>
        <w:t>Ausgangsgemäss sind sodann keine Parteientschädigungen zuzusprechen. 2. Die Anzeigeerstatterin ist im Verfahren betreffend administrative Aufsichtsbe- schwerde nicht Verfahrenspartei, denn dieses betrifft nur eine Angelegenheit zwischen der Aufsichtsbehörde und der beaufsichtigten Person. Ihr steht demnach keine Legitimation zur Ergreifung eines Rechtsmittels zu (Hau- ser/Schweri/Lieber, a.a.O., § 82 N 44 und § 84 N 2). Die Beschwerdegegnerin ist durch den vorliegenden Entscheid ferner nicht beschwert (Beschluss Ver- waltungskommission OG ZH vom 28. September 2021, Nr. VB210012-O, E. IV.2). Insoweit fehlt es an einer Weiterzugsmöglichkeit.</w:t>
      </w:r>
    </w:p>
    <w:p>
      <w:r>
        <w:t>- 6 - 3. Aufgrund der fehlenden Parteistellung ist der anzeigeerstattenden Person vom Ausgang des Verfahrens keine Mitteilung zu machen (Hauser/Schwe- ri/Lieber, a.a.O., § 82 N 44). Es wird beschlossen:</w:t>
      </w:r>
    </w:p>
    <w:p>
      <w:r>
        <w:rPr>
          <w:b/>
        </w:rPr>
        <w:t>E. 2</w:t>
      </w:r>
    </w:p>
    <w:p>
      <w:r>
        <w:t>Es sei festzustellen, ob die beanstandeten Aspekte mit den Anfor- derungen an eine transparente, nachvollziehbare und gleichbehan- delnde Prozessführung vereinbar sind.</w:t>
      </w:r>
    </w:p>
    <w:p>
      <w:r>
        <w:rPr>
          <w:b/>
        </w:rPr>
        <w:t>E. 2.1</w:t>
      </w:r>
    </w:p>
    <w:p>
      <w:r>
        <w:t>Verletzen Mitglieder von Gerichtsbehörden Amtspflichten, kann bei der unmit- telbaren Aufsichtsbehörde schriftlich Aufsichtsbeschwerde erhoben werden. Die Aufsichtsbehörde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w:t>
      </w:r>
    </w:p>
    <w:p>
      <w:r>
        <w:rPr>
          <w:b/>
        </w:rPr>
        <w:t>E. 2.2</w:t>
      </w:r>
    </w:p>
    <w:p>
      <w:r>
        <w:t>Die Aufsichtsbeschwerde ist gemäss § 83 Abs. 1 GOG innert zehn Tagen seit Kenntnisnahme der Amtspflichtverletzung – d.h. eines bestimmten Entschei- des oder einer bestimmten Handlung – schriftlich einzureichen. Dabei handelt es sich um eine gesetzliche Frist. Wird sie versäumt, so verliert die beschwer- deführende Person das Beschwerderecht. Die Aufsichtsbehörde prüft die Rechtzeitigkeit der Beschwerde von Amtes wegen (GOG Kommentar-Hau- ser/Schweri/Lieber, a.a.O., § 83 N 8 und N 10). 3. Die Anzeigeerstatterin bezeichnet ihre Eingabe vom 14. Januar 2026 als ad- ministrative Aufsichtsbeschwerde im obgenannten Sinne. Sie führt aus, die Beschwerde richte sich nicht gegen den materiellen Inhalt der Verfügung vom 13. November 2025, sondern gegen die Art und Weise der Prozessführung (act. 1 S. 1). Die Beschwerde ist daher als administrative Beschwerde entge- genzunehmen.</w:t>
      </w:r>
    </w:p>
    <w:p>
      <w:r>
        <w:rPr>
          <w:b/>
        </w:rPr>
        <w:t>E. 3</w:t>
      </w:r>
    </w:p>
    <w:p>
      <w:r>
        <w:t>Gegebenenfalls seien geeignete organisatorische oder aufsichts- rechtliche Massnahmen zu ergreifen."</w:t>
      </w:r>
    </w:p>
    <w:p>
      <w:r>
        <w:rPr>
          <w:b/>
        </w:rPr>
        <w:t>E. 3.2</w:t>
      </w:r>
    </w:p>
    <w:p>
      <w:r>
        <w:t>Zur Begründung brachte die Anzeigeerstatterin kurz zusammengefasst vor, das Bezirksgericht habe der Beklagten im Hauptsachenverfahren zu Unrecht und ohne nachvollziehbare Begründung faktisch zusätzliche Zeit eingeräumt, habe wesentliche Parteivorbringen in der Verfügung vom 13. November 2025 nicht oder nur pauschal behandelt, in der klägerischen Eingabe Substantiier- tes abwertend als blosse Behauptung bezeichnet, eine widersprüchliche Be- gründung angeführt und die Grundsätze des rechtlichen Gehörs und der Gleichbehandlung verletzt (act. 1).</w:t>
      </w:r>
    </w:p>
    <w:p>
      <w:r>
        <w:rPr>
          <w:b/>
        </w:rPr>
        <w:t>E. 4</w:t>
      </w:r>
    </w:p>
    <w:p>
      <w:r>
        <w:t>Die Verwaltungskommission eröffnete in der Folge das vorliegende Verfahren und zog die Akten des Bezirksgerichts C._____ Geschäfts-Nr. ... bei (act. 5/1- 22, act. 6).</w:t>
      </w:r>
    </w:p>
    <w:p>
      <w:r>
        <w:rPr>
          <w:b/>
        </w:rPr>
        <w:t>E. 4.1</w:t>
      </w:r>
    </w:p>
    <w:p>
      <w:r>
        <w:t>Die Anzeigeerstatterin hat ihre Beschwerde vom 14. Januar 2026 bei der Ver- waltungskommission am 15. Januar 2026 (Datum Post) eingereicht. Die von ihr vorgebrachten Rügen beziehen sich auf die Verfügung des Bezirksgerichts C._____ vom 13. November 2025 (Geschäfts-Nr. ...), welche ihr am 26. No- vember 2025 zugestellt werden konnte (act. 5/22). Die oben erwähnte Frist von zehn Tagen lief damit am 8. Dezember 2025 ab. Die Aufsichtsbe-</w:t>
      </w:r>
    </w:p>
    <w:p>
      <w:r>
        <w:t>- 5 - schwerde wurde damit verspätet eingereicht, weshalb darauf nicht einzutreten ist.</w:t>
      </w:r>
    </w:p>
    <w:p>
      <w:r>
        <w:rPr>
          <w:b/>
        </w:rPr>
        <w:t>E. 4.2</w:t>
      </w:r>
    </w:p>
    <w:p>
      <w:r>
        <w:t>Ergänzungshalber sei darauf hingewiesen, dass sich die I. Zivilkammer in ih- rem Entscheid vom 12. Dezember 2025 (Geschäfts-Nr. ...) mit der Thematik der Fristerstreckung eingehend befasst hat. Eine Rechtsverletzung seitens des Bezirksgerichts erkannte sie nicht (act. 6 E. 2.5). Die diesbezüglichen Vorwürfe erweisen sich daher aus aufsichtsrechtlicher Sicht ohnehin als un- bedeutend.</w:t>
      </w:r>
    </w:p>
    <w:p>
      <w:r>
        <w:rPr>
          <w:b/>
        </w:rPr>
        <w:t>E. 5</w:t>
      </w:r>
    </w:p>
    <w:p>
      <w:r>
        <w:t>Abschliessend ist festzuhalten, dass auf die Beschwerde infolge verspäteter Einreichung nicht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