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VB250002 vom 10. Februar 2025</w:t>
      </w:r>
    </w:p>
    <w:p>
      <w:r>
        <w:t>ZH Obergericht, 2025-02-10, DE</w:t>
      </w:r>
    </w:p>
    <w:p>
      <w:r>
        <w:rPr>
          <w:b/>
        </w:rPr>
        <w:t xml:space="preserve">Quelle: </w:t>
      </w:r>
      <w:r>
        <w:t>https://mcp.opencaselaw.ch/entscheid/zh_obergericht_VB250002</w:t>
      </w:r>
    </w:p>
    <w:p>
      <w:r>
        <w:t>FR: ZH_OBERGERICHT VB250002 du 10 février 2025</w:t>
      </w:r>
    </w:p>
    <w:p>
      <w:r>
        <w:t>IT: ZH_OBERGERICHT VB250002 del 10 febbraio 2025</w:t>
      </w:r>
    </w:p>
    <w:p>
      <w:pPr>
        <w:pStyle w:val="Heading2"/>
      </w:pPr>
      <w:r>
        <w:t>Erwägungen</w:t>
      </w:r>
    </w:p>
    <w:p>
      <w:r>
        <w:rPr>
          <w:b/>
        </w:rPr>
        <w:t>E. 1</w:t>
      </w:r>
    </w:p>
    <w:p>
      <w:r>
        <w:t>Mit Eingabe vom 10. Juni 2024 (act. 4/1) erhob A._____ (fortan: Beschwerde- führerin) beim Bezirksgericht Zürich eine Beschwerde gegen das Schreiben des Friedensrichteramtes der Stadt Zürich, Kreise … &amp; … (fortan: Beschwer- degegner), vom 23. Mai 2024 betreffend Ausstandsgesuch sowie eine Kos- tenbeschwerde. Sie ersuchte um Ausstand der Friedensrichterin in den Ver- fahren Geschäfts-Nrn. GV.2024.00115, GV.2024.00002 und GV.2024.00017, rügte eine verweigerte Akteneinsicht und erhob eine Kostenbeschwerde in Bezug auf die Quittung des Beschwerdegegners vom 30. Mai 2024. Mit Be- schluss vom 12. Dezember 2024 (act. 3) trat das Bezirksgericht Zürich auf die Beschwerde nicht ein.</w:t>
      </w:r>
    </w:p>
    <w:p>
      <w:r>
        <w:rPr>
          <w:b/>
        </w:rPr>
        <w:t>E. 2</w:t>
      </w:r>
    </w:p>
    <w:p>
      <w:r>
        <w:t>Dagegen erhob die Beschwerdeführerin mit Eingabe vom 9. Januar 2024 [recte: 2025] (act. 2) innert Frist (act. 4/7/2) Beschwerde ans Obergericht des Kantons Zürich und stellte den Antrag, den angefochtenen Beschluss für nich- tig zu erklären bzw. aufzuheben und die Vorinstanz anzuweisen, die Kosten- beschwerde dem Obergericht des Kantons Zürich zu überwiesen, unter Kos- tenfolge zu Lasten des Beschwerdegegners bzw. der Gerichtskasse.</w:t>
      </w:r>
    </w:p>
    <w:p>
      <w:r>
        <w:rPr>
          <w:b/>
        </w:rPr>
        <w:t>E. 3</w:t>
      </w:r>
    </w:p>
    <w:p>
      <w:r>
        <w:t>In der Folge legte die II. Zivilkammer des Obergerichts des Kantons Zürich das Verfahren Geschäfts-Nr. PS250009-O an. Mangels Zuständigkeit schrieb sie dieses mit Beschluss vom 22. Januar 2025 am Register ab und überwies die Eingabe der Beschwerdeführerin samt den beigezogenen Akten (Ge- schäfts-Nr. CB240060-L) zuständigkeitshalber an die Verwaltungskommis- sion des Obergerichts des Kantons Zürich zur weiteren Behandlung (act. 1). Diese eröffnete das vorliegende Verfahren.</w:t>
      </w:r>
    </w:p>
    <w:p>
      <w:r>
        <w:rPr>
          <w:b/>
        </w:rPr>
        <w:t>E. 3.1</w:t>
      </w:r>
    </w:p>
    <w:p>
      <w:r>
        <w:t>Die Vorinstanz befasste sich im angefochtenen Beschluss mit der Kostenbe- schwerde (act. 3 E. 3.4), mit dem Ausstandsersuchen (act. 3 E. 3.1-3.2) so- wie mit dem Antrag auf Akteneinsicht (act. 3 E. 3.3.). Angefochten ist lediglich der Entscheid betreffend Kostenbeschwerde (act. 2), weshalb im Folgenden nur darüber zu befinden ist. Die Vorinstanz erwog hierzu, der prozesserfahre- nen Beschwerdeführerin sei bekannt, dass ein angeblich fehlerhafter Kosten- entscheid des Beschwerdegegners selbständig nur mit Beschwerde beim Obergericht anfechtbar sei. Es sei auf die Beschwerde mangels Zuständigkeit nicht einzutreten. Eine Weiterleitung an die zuständige Behörde sei gesetzlich nicht vorgesehen (act. 3 E. 3.4).</w:t>
      </w:r>
    </w:p>
    <w:p>
      <w:r>
        <w:rPr>
          <w:b/>
        </w:rPr>
        <w:t>E. 3.2</w:t>
      </w:r>
    </w:p>
    <w:p>
      <w:r>
        <w:t>Bis zum 31. Dezember 2024 enthielt die Zivilprozessordnung keine Bestim- mung, welche die Gerichte verpflichtete, fälschlicherweise bei ihnen einge- reichte Eingaben an die zuständige Instanz weiterzuleiten. Bereits in der Bot- schaft zur Zivilprozessordnung wurde festgehalten, dass bei fehlender Zu- ständigkeit zwecks Vermeidung der damit verbundenen Zusatzbelastung der Gerichte keine Prozessüberweisung von Amtes wegen von einem unzustän- digen Gericht an das zuständige Gericht erfolge (vgl. BBl 2006 Botschaft ZPO S. 7277). Auch das Bundesgericht erwog in seinem Urteil vom 24. Januar 2022, dass eine Weiterleitungspflicht entgegen dem Vorschlag der Experten- kommission nicht zum Gesetz geworden sei (5A_998/2021 E. 2). Einige Lehr- meinungen gingen ebenfalls von einer fehlenden Weiterleitungspflicht aus (SHK ZPO Kommentar-Schleiffer Marais Prisca, Art. 63 N 5; OFK ZPO-Morf, Art. 63 N 4; DIKE Kommentar ZPO-Müller-Chen, Art. 63 N 19). In der Lehre und Rechtsprechung wurde indes teilweise auch die Ansicht vertreten, eine Weiterleitungspflicht leite sich aus der analogen Anwendung von Art. 48 Abs. 3 BGG ab (BSK-Infanger, Art. 63 N 1; BGE 140 III 636 E. 3.2 und 3.6). Das Bundesgericht beschränkte die Weiterleitungspflicht in seinem Entscheid</w:t>
      </w:r>
    </w:p>
    <w:p>
      <w:r>
        <w:t>- 5 - BGE 140 III 636 jedoch auf den iudex a quo (auf das den Entscheid fällende Gericht) und verneinte sie in Bezug auf andere Instanzen, bei welchen das Rechtsmittel fälschlicherweise eingereicht wurde (gleichermassen ZK ZPO- Sutter-Somm/Hedinger, Art. 63 N 8). Hinsichtlich der Frage der Weiterlei- tungspflicht bestand in Lehre und Rechtsprechung demnach keine umfas- sende Einigkeit. Per 1. Januar 2025 wurde in Art. 143 Abs. 1bis ZPO eine Wei- terleitungspflicht eingeführt für Fälle, in denen die Eingabe fristgerecht, aber irrtümlich bei einem unzuständigen schweizerischen Gericht eingereicht wurde. Diese Bestimmung kommt vorliegend indes nicht zum Tragen, da sie erst nach Ergehen des angefochtenen Beschlusses in Kraft trat.</w:t>
      </w:r>
    </w:p>
    <w:p>
      <w:r>
        <w:rPr>
          <w:b/>
        </w:rPr>
        <w:t>E. 3.3</w:t>
      </w:r>
    </w:p>
    <w:p>
      <w:r>
        <w:t>Aus dem Gesagten ergibt sich, dass die Vorinstanz mit ihrem Standpunkt, der Beschwerdeführerin sei der Rechtsmittelweg bekannt gewesen und eine Wei- terleitung des Rechtsmittels sei gesetzlich nicht vorgesehen (act. 3 E. 3.4), keine aufsichtsrechtlich relevante Pflichtverletzung begangen hat. Eine ge- setzlich vorgesehene Verpflichtung zur Weiterleitung der Eingabe existierte im Zeitpunkt der Entscheidfällung nicht und bestand zumindest nach einem Teil der Lehre und nach der bundesgerichtlichen Praxis auch nicht aufgrund eines allgemeinen Verfahrensgrundsatzes. 4. Die Beschwerdeführerin rügt weiter, der Beschwerdegegner hätte die Quit- tung vom 30. Mai 2024 über Fr. 92.- mit einer Rechtsmittelbelehrung verse- hen müssen (act. 2). Die Beschwerdeführerin verkennt, dass es sich beim massgeblichen Dokument lediglich um eine Quittung handelt, d.h. um eine Bescheinigung, mit der der Erhalt des darauf aufgeführten Betrages durch den Beschwerdegegner bestätigt wird. Diese war als solche nicht anfechtbar. Eine Rechtsmittelbelehrung enthielt die Quittung zu Recht nicht. Ein aufsichtsrecht- lich relevantes Fehlverhalten ist nicht erkennbar.</w:t>
      </w:r>
    </w:p>
    <w:p>
      <w:r>
        <w:rPr>
          <w:b/>
        </w:rPr>
        <w:t>E. 4</w:t>
      </w:r>
    </w:p>
    <w:p>
      <w:r>
        <w:t>Nach § 83 Abs. 2 des Gerichtsorganisationsgesetzes (GOG, LS 211.1) bzw. § 84 GOG i.V.m. Art. 322 Abs. 1 ZPO stellt die Rechtsmittelinstanz die Auf- sichtsbeschwerde der Gegenpartei zur schriftlichen Stellungnahme zu, es sei denn, die Beschwerde sei sofort unzulässig oder unbegründet. Da dies – wie</w:t>
      </w:r>
    </w:p>
    <w:p>
      <w:r>
        <w:t>- 3 - im Folgenden zu zeigen sein wird – der Fall ist, kann auf das Einholen einer Stellungnahme des Beschwerdegegners verzichtet werden. Das Verfahren erweist sich als spruchreif. Auf die Vorbringen der Beschwerdeführerin ist nachfolgend einzugehen, soweit dies unter Hinweis auf § 83 Abs. 3 GOG not- wendig erscheint.</w:t>
      </w:r>
    </w:p>
    <w:p>
      <w:r>
        <w:rPr>
          <w:b/>
        </w:rPr>
        <w:t>E. 5</w:t>
      </w:r>
    </w:p>
    <w:p>
      <w:r>
        <w:t>Zusammenfassend ist damit festzuhalten, dass die Ausführungen der Be- schwerdeführerin nicht zu überzeugen vermögen, weshalb die Beschwerde abzuweisen ist.</w:t>
      </w:r>
    </w:p>
    <w:p>
      <w:r>
        <w:t>- 6 -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