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VB240018 vom 6. November 2024</w:t>
      </w:r>
    </w:p>
    <w:p>
      <w:r>
        <w:t>ZH Obergericht, 2024-11-06, DE</w:t>
      </w:r>
    </w:p>
    <w:p>
      <w:r>
        <w:rPr>
          <w:b/>
        </w:rPr>
        <w:t xml:space="preserve">Quelle: </w:t>
      </w:r>
      <w:r>
        <w:t>https://mcp.opencaselaw.ch/entscheid/zh_obergericht_VB240018</w:t>
      </w:r>
    </w:p>
    <w:p>
      <w:r>
        <w:t>FR: ZH_OBERGERICHT VB240018 du 6 novembre 2024</w:t>
      </w:r>
    </w:p>
    <w:p>
      <w:r>
        <w:t>IT: ZH_OBERGERICHT VB240018 del 6 novembre 2024</w:t>
      </w:r>
    </w:p>
    <w:p>
      <w:pPr>
        <w:pStyle w:val="Heading2"/>
      </w:pPr>
      <w:r>
        <w:t>Erwägungen</w:t>
      </w:r>
    </w:p>
    <w:p>
      <w:r>
        <w:rPr>
          <w:b/>
        </w:rPr>
        <w:t>E. 1</w:t>
      </w:r>
    </w:p>
    <w:p>
      <w:r>
        <w:t>A._____ (fortan: Anzeigeerstatterin) war gemäss eigenen Angaben Partei im am Bezirksgericht C._____ durchgeführten Verfahren Geschäfts- Nr. FK230007-… betreffend Obhut und Unterhalt. Die Verfahrensleitung hatte Ersatzrichterin MLaw B._____ (fortan: Beschwerdegegnerin 1) als Einzelrich- terin inne. Ebenfalls gemäss eigenen Angaben zog die Anzeigeerstatterin den Entscheid ans Obergericht des Kantons Zürich weiter, welches aktuell das Verfahren Geschäfts-Nr. LZ240018-O führt.</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wenig kommt eine Kostenauflage zulasten der Beschwerdegegner in Frage (Art. 116 ZPO i.V.m. § 200 lit. b GOG; GOG Kommentar-Hauser/Schweri/Lieber, a.a.O., § 83 N 25). Die Kosten fallen daher ausser Ansatz.</w:t>
      </w:r>
    </w:p>
    <w:p>
      <w:r>
        <w:rPr>
          <w:b/>
        </w:rPr>
        <w:t>E. 1.2</w:t>
      </w:r>
    </w:p>
    <w:p>
      <w:r>
        <w:t>Ausgangsgemäss sind sodann keine Prozessentschädigungen zuzuspre- chen.</w:t>
      </w:r>
    </w:p>
    <w:p>
      <w:r>
        <w:rPr>
          <w:b/>
        </w:rPr>
        <w:t>E. 2</w:t>
      </w:r>
    </w:p>
    <w:p>
      <w:r>
        <w:t>Im Sinne einer vorsorglichen Massnahme sei der Beschwerde- gegner 2 sodann anzuweisen, bereits während der Dauer des vorliegenden Beschwerdeverfahrens die Beschwerdegegnerin 1 nicht mehr als Ersatzrichterin einzusetzen bzw. in bereits zugeteil- ten Geschäften eine entsprechende Änderung in der Spruchkör- perbesetzung vorzunehmen.</w:t>
      </w:r>
    </w:p>
    <w:p>
      <w:r>
        <w:rPr>
          <w:b/>
        </w:rPr>
        <w:t>E. 2.1</w:t>
      </w:r>
    </w:p>
    <w:p>
      <w:r>
        <w:t>Die Anzeigeerstatterin ist im Verfahren betreffend administrative Aufsichtsbe- schwerde nicht Verfahrenspartei, denn dieses betrifft nur eine Angelegenheit zwischen der Aufsichtsbehörde und der beaufsichtigten Person. Daran ver- mag auch der seitens der Anzeigeerstatterin geltend gemachte Umstand der besonderen Betroffenheit infolge des durchgeführten Verfahrens Geschäfts- Nr. FK230007-O bzw. allfälliger künftiger Verfahren nichts zu ändern. Allein die Tatsache, dass die Anzeigeerstatterin in der Vergangenheit Partei in ei- nem Verfahren war, welches der Beschwerdegegnerin 1 als Einzelrichterin zugeteilt war, vermag im vorliegenden Verfahren keine Parteistellung zu be- gründen. Selbst wenn die Anzeigeerstatterin die Aufsichtsbeschwerde wäh- rend des hängigen Verfahrens Geschäfts-Nr. FK230007-O erhoben hätte, würde sie keine Parteistellung inne haben. Auch mögliche künftige Verfahren begründen keine Parteistellung. Der Anzeigeerstatterin steht demnach keine Legitimation zur Ergreifung eines Rechtsmittels zu (GOG Kommentar-Hau- ser/Schweri/Lieber, a.a.O., § 82 N 44 f.).</w:t>
      </w:r>
    </w:p>
    <w:p>
      <w:r>
        <w:rPr>
          <w:b/>
        </w:rPr>
        <w:t>E. 2.2</w:t>
      </w:r>
    </w:p>
    <w:p>
      <w:r>
        <w:t>Die Beschwerdegegner sind durch den vorliegenden Entscheid ferner nicht beschwert (GOG Kommentar-Hauser/Schweri/Lieber, a.a.O., § 84 N 2; Be-</w:t>
      </w:r>
    </w:p>
    <w:p>
      <w:r>
        <w:t>- 8 - schluss Verwaltungskommission OG ZH vom 28. September 2021, Nr. VB210012-O, E. IV.2). Insoweit fehlt es an einer Weiterzugsmöglichkeit.</w:t>
      </w:r>
    </w:p>
    <w:p>
      <w:r>
        <w:rPr>
          <w:b/>
        </w:rPr>
        <w:t>E. 3</w:t>
      </w:r>
    </w:p>
    <w:p>
      <w:r>
        <w:t>Aufgrund der fehlenden Parteistellung ist der anzeigeerstattenden Person vom Ausgang des Verfahrens keine Mitteilung zu machen (GOG Kommentar- Hauser/Schweri/Lieber, a.a.O., § 82 N 44 f.). Es wird beschlossen:</w:t>
      </w:r>
    </w:p>
    <w:p>
      <w:r>
        <w:rPr>
          <w:b/>
        </w:rPr>
        <w:t>E. 3.1</w:t>
      </w:r>
    </w:p>
    <w:p>
      <w:r>
        <w:t>Hinsichtlich des der Beschwerde zugrunde liegenden Sachverhalts sei vorab darauf hingewiesen, dass vorliegend trotz der seitens der Anzeigeerstatterin eingereichten, auf eine Beziehung hindeutenden Unterlagen (act. 4/2) nicht erstellt ist, dass zwischen der Beschwerdegegnerin 1 und Bezirksrichter lic. iur. D._____ tatsächlich eine faktische Lebensgemeinschaft im Sinne von § 28 Abs. 2 GPR besteht. Nähere Abklärungen zu dieser Frage sind nicht notwen- dig. Denn selbst wenn von einer faktischen Lebensgemeinschaft auszugehen wäre, würde eine solche - den nachfolgenden Erwägungen zufolge - am Aus- gang des vorliegenden Verfahrens nichts zu ändern vermögen.</w:t>
      </w:r>
    </w:p>
    <w:p>
      <w:r>
        <w:rPr>
          <w:b/>
        </w:rPr>
        <w:t>E. 3.2</w:t>
      </w:r>
    </w:p>
    <w:p>
      <w:r>
        <w:t>§ 28 Abs. 1 i.V.m. Abs. 2 GPR sieht insoweit einen Unvereinbarkeitsgrund vor, als Ehegatten bzw. sich in einer faktischen Lebensgemeinschaft befin- dende Personen nicht in der gleichen Gerichtsabteilung tätig sein dürfen. Mit dieser Bestimmung soll primär sichergestellt werden, dass die Gerichtsmit- glieder lediglich dem Recht verpflichtet entscheiden und ihre Entscheidfin- dung nicht durch äussere oder innere sachfremde Umstände, welche ausser-</w:t>
      </w:r>
    </w:p>
    <w:p>
      <w:r>
        <w:t>- 6 - halb des Prozesses liegen, bestimmt wird (BSK ZPO-Weber, Art. 47 N 2 f.). Die Beschwerdegegnerin 1 amtete im Verfahren Geschäfts-Nr. FK230007-… als Einzelrichterin im vereinfachten Verfahren. Bezirksrichter lic. iur. D._____ ist gemäss dem aktuellen Konstituierungsbeschluss (https://www.gerichte- zh.ch/fileadmin/user_upload/Dokumente/BG_C._____/Konstituie- rung_per_1._Juli_2024.pdf) am Bezirksgericht C._____ zwar ebenfalls als Einzelrichter im vereinfachten Verfahren tätig. Anders als in Kollegialgerichts- fällen leiten Einzelrichterinnen und Einzelrichter jedoch die ihnen zugeteilten Verfahren selbständig und unabhängig von den übrigen Einzelrichterinnen und Einzelrichter, welche ihre eigenen Fälle betreuen. Es besteht im Rahmen der Entscheidfindung damit keine Gefahr der Beeinflussung durch andere Ge- richtsmitglieder, zumal diese weder am Verfahren beteiligt noch Teil des Spruchkörpers sind. Der Umstand, dass sowohl die Beschwerdegegnerin 1 als auch Bezirksrichter lic. iur. D._____ am Bezirksgericht C._____ als Ein- zelrichter im vereinfachten Verfahren amten, vermag daher selbst für den Fall, dass tatsächlich eine faktische Lebensgemeinschaft mit oder ohne gemeinsa- mem Wohnsitz vorliegt, keine Unvereinbarkeit im Sinne von § 28 GPR zu be- gründen. Vor diesem Hintergrund erweist es sich nicht als notwendig, von Am- tes wegen aufsichtsrechtlich tätig zu werden. Im Falle des Vorliegens einer faktischen Lebensgemeinschaft sind jedoch bei der Zuteilung von künftigen Verfahren die Unvereinbarkeitsgründe in § 28 GPR zu beachten. Im Weiteren bestehen keine Anhaltspunkte, dass der Beschwerdegegner 2 im Zusammen- hang mit der Bestellung der Ersatzmitglieder auf sachfremde Kriterien abstellt und dabei deren fachliche Eignung ausser Acht lässt. Allein aus dem Um- stand, dass die Gerichts- und Ersatzmitglieder beruflich und allenfalls auch freundschaftlich verbunden sind, vermag sich kein solcher Verdacht abzulei- ten. Die Ernennung zum Ersatzmitglied hat ohnehin durch die Verwaltungs- kommission des Obergerichts des Kantons Zürich zu erfolgen (§ 18 Abs. 1 lit. j Ziff. 3 der Verordnung über die Organisation des Obergerichts [OrgV OG, LS 212.51]). Dem betroffenen Bezirksgericht kommt insoweit lediglich ein An- tragsrecht zu (vgl. § 11 lit. e Geschäftsordnung BG C._____). Damit erweisen</w:t>
      </w:r>
    </w:p>
    <w:p>
      <w:r>
        <w:t>- 7 - sich auch hinsichtlich dieser Anzeige aufsichtsrechtliche Massnahmen als nicht notwendig. Die Beschwerde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