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VB240013 vom 29. August 2024</w:t>
      </w:r>
    </w:p>
    <w:p>
      <w:r>
        <w:t>ZH Obergericht, 2024-08-29, DE</w:t>
      </w:r>
    </w:p>
    <w:p>
      <w:r>
        <w:rPr>
          <w:b/>
        </w:rPr>
        <w:t xml:space="preserve">Quelle: </w:t>
      </w:r>
      <w:r>
        <w:t>https://mcp.opencaselaw.ch/entscheid/zh_obergericht_VB240013</w:t>
      </w:r>
    </w:p>
    <w:p>
      <w:r>
        <w:t>FR: ZH_OBERGERICHT VB240013 du 29 août 2024</w:t>
      </w:r>
    </w:p>
    <w:p>
      <w:r>
        <w:t>IT: ZH_OBERGERICHT VB240013 del 29 agosto 2024</w:t>
      </w:r>
    </w:p>
    <w:p>
      <w:pPr>
        <w:pStyle w:val="Heading2"/>
      </w:pPr>
      <w:r>
        <w:t>Erwägungen</w:t>
      </w:r>
    </w:p>
    <w:p>
      <w:r>
        <w:rPr>
          <w:b/>
        </w:rPr>
        <w:t>E. 1</w:t>
      </w:r>
    </w:p>
    <w:p>
      <w:r>
        <w:t>Am 15. März 2024 stellte B._____ (nachfolgend: Beschwerdegegner) beim Bezirksgericht Horgen das Gesuch, ihn für das bei der Kantonspolizei Zürich hängige Strafverfahren gegen A._____ (nachfolgend: Beschwerdeführerin) betreffend tätlichen Angriffs bei einer amtlichen sowie betreibungsrechtlichen Zustellung vom Amtsgeheimnis zu entbinden und zur Aussage zu ermächti- gen (act. 5/3).</w:t>
      </w:r>
    </w:p>
    <w:p>
      <w:r>
        <w:rPr>
          <w:b/>
        </w:rPr>
        <w:t>E. 2</w:t>
      </w:r>
    </w:p>
    <w:p>
      <w:r>
        <w:t>Mit Urteil vom 2. April 2024 kam das Bezirksgericht Horgen als untere kanto- nale Aufsichtsbehörde dem Gesuch um Amtsgeheimnisentbindung sowie zur Aussageermächtigung nach (act. 3; act. 5/4). Nach drei erfolgslosen Zustel- lungsversuchen (act. 5/6–5/8) konnte das Urteil am 27. Juli 2024 der Be- schwerdeführerin zugestellt werden (act. 5/9).</w:t>
      </w:r>
    </w:p>
    <w:p>
      <w:r>
        <w:rPr>
          <w:b/>
        </w:rPr>
        <w:t>E. 3</w:t>
      </w:r>
    </w:p>
    <w:p>
      <w:r>
        <w:t>Am 29. Juli 2024 (Poststempel) erhob die Beschwerdeführerin persönlich ge- gen das besagte Urteil innert Frist (§ 84 GOG) Beschwerde und stellte sinn- gemäss folgende Anträge (act. 1, S. 1): I. Es sei ein neues Gremium ohne … [Funktion] Dr. iur. C._____ einzube- rufen, II. Es sei das Verfahren an die Zuger Behörden zu übergeben. III. Es sei von der Mandatierung von Strafverteidiger Dr. iur. X._____, D._____ [Ortschaft], Vormerk zu nehmen.</w:t>
      </w:r>
    </w:p>
    <w:p>
      <w:r>
        <w:rPr>
          <w:b/>
        </w:rPr>
        <w:t>E. 4</w:t>
      </w:r>
    </w:p>
    <w:p>
      <w:r>
        <w:t>Die Verwaltungskommission zog in der Folge die Akten des Bezirksgerichts Horgen Geschäfts-Nr. BV240008-F bei (act. 5/1–9).</w:t>
      </w:r>
    </w:p>
    <w:p>
      <w:r>
        <w:rPr>
          <w:b/>
        </w:rPr>
        <w:t>E. 5</w:t>
      </w:r>
    </w:p>
    <w:p>
      <w:r>
        <w:t>Im Übrigen macht die Beschwerdeführerin nicht geltend, dass der Beschwer- degegner zu Unrecht vom Amtsgeheimnis entbunden worden wäre, weshalb sich eine weiterführende materielle Überprüfung des Urteils vom 2. April 2024 erübrigt. Die Beschwerdeführerin führt lediglich aus, dass sie am 15. März 2024 in F._____ gewohnt habe und den Beschwerdegegner nicht tätlich an- gegriffen habe. Dies ist aber nicht im vorliegenden Verfahren zu beurteilen, sondern ist vielmehr Gegenstand des Strafverfahrens gegen die Beschwer- deführerin.</w:t>
      </w:r>
    </w:p>
    <w:p>
      <w:r>
        <w:rPr>
          <w:b/>
        </w:rPr>
        <w:t>E. 6</w:t>
      </w:r>
    </w:p>
    <w:p>
      <w:r>
        <w:t>Abschliessend ist die Beschwerdeführerin noch auf Folgendes hinzuweisen: Die Beschwerdeführerin bezeichnet … Dr. iur. C._____ auf S. 1 ihrer Be- schwerde mit einem ungebührlichen Ausdruck. Gemäss Art. 132 ZPO sind ungebührliche Eingaben innert einer gerichtlichen Nachfrist zu verbessern, andernfalls die Eingabe als nicht erfolgt gilt (Abs. 1 und 2), querulatorische und rechtsmissbräuchliche Eingaben hingegen sind ohne Weiteres zurückzu- schicken (Abs. 3). Nach der bundesgerichtlichen Rechtsprechung ist jedoch auch eine ungebührliche Eingabe ohne Ansetzung einer Nachfrist für unzu- lässig zu erklären, wenn eine Beschwerdeführerin in Kenntnis des Verbots ungebührlicher Rechtsschriften wiederholt dagegen verstösst (vgl. Urteil des</w:t>
      </w:r>
    </w:p>
    <w:p>
      <w:r>
        <w:t>- 7 - Bundesgerichts 5A_486/2011 vom 25. August 2011, E. 5.2 m.w.H.) Dies hat auch in Verfahren vor der Verwaltungskommission seine Gültigkeit.</w:t>
      </w:r>
    </w:p>
    <w:p>
      <w:r>
        <w:rPr>
          <w:b/>
        </w:rPr>
        <w:t>E. 7</w:t>
      </w:r>
    </w:p>
    <w:p>
      <w:r>
        <w:t>Die Beschwerdeführerin A._____ wird mit vorliegendem Beschluss ausdrück- lich auf die Unzulässigkeit und die Folgen von ungebührlichen Eingaben hin- gewiesen. Demgemäss kann solches Verhalten inskünftig umgehend und ohne Ansetzung einer Nachfrist zur Feststellung führen, dass ungebührliche Eingaben der Beschwerdeführerin an die Verwaltungskommission im Sinne von Art. 132 ZPO als nicht erfolgt gelten und ohne Weiteres zurückgeschickt werden. 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