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VB240012 vom 29. August 2024</w:t>
      </w:r>
    </w:p>
    <w:p>
      <w:r>
        <w:t>ZH Obergericht, 2024-08-29, DE</w:t>
      </w:r>
    </w:p>
    <w:p>
      <w:r>
        <w:rPr>
          <w:b/>
        </w:rPr>
        <w:t xml:space="preserve">Quelle: </w:t>
      </w:r>
      <w:r>
        <w:t>https://mcp.opencaselaw.ch/entscheid/zh_obergericht_VB240012</w:t>
      </w:r>
    </w:p>
    <w:p>
      <w:r>
        <w:t>FR: ZH_OBERGERICHT VB240012 du 29 août 2024</w:t>
      </w:r>
    </w:p>
    <w:p>
      <w:r>
        <w:t>IT: ZH_OBERGERICHT VB240012 del 29 agosto 2024</w:t>
      </w:r>
    </w:p>
    <w:p>
      <w:pPr>
        <w:pStyle w:val="Heading2"/>
      </w:pPr>
      <w:r>
        <w:t>Erwägungen</w:t>
      </w:r>
    </w:p>
    <w:p>
      <w:r>
        <w:rPr>
          <w:b/>
        </w:rPr>
        <w:t>E. 1</w:t>
      </w:r>
    </w:p>
    <w:p>
      <w:r>
        <w:t>Mit nicht unterzeichneter Eingabe vom 29. Juni 2024 (act. 5/1) erhob der A._____ [Verein] (fortan: Beschwerdeführer) beim Bezirksgericht Uster eine Aufsichtsbeschwerde gegen die Paritätische Schlichtungsbehörde in Miet- und Pachtsachen des Bezirkes Uster (fortan: Beschwerdegegnerin 1). Darin beantragte er die Annullierung der Schlichtungsverhandlung, die Anweisung an die Polizei, das per 30. April 2024 ausgesprochene Hausverbot zu vollstre- cken, und die Kostenauflage auf B._____ (fortan: Beschwerdegegner 2) (act. 5/1). Er führte zur Begründung zusammengefasst aus, dass er nur einen Beherbergungsbetrieb betreibe und deshalb mit den Gästen lediglich Beher- bergungsverträge und keine Mietverträge abgeschlossen würden. Obwohl die Schlichtungsstelle wisse, dass sie nicht zuständig sei, habe sie aber zur Schlichtung vorgeladen.</w:t>
      </w:r>
    </w:p>
    <w:p>
      <w:r>
        <w:rPr>
          <w:b/>
        </w:rPr>
        <w:t>E. 2</w:t>
      </w:r>
    </w:p>
    <w:p>
      <w:r>
        <w:t>Mit Beschluss des Bezirksgerichts Uster vom 10. Juli 2024 (act. 3) wurde die Beschwerde des Beschwerdeführers abgewiesen, soweit darauf eingetreten wurde. Zur Begründung hielt das Bezirksgericht Uster im Wesentlichen fest, dass die Vorbringen des Beschwerdeführers gegen die eigentliche Prozess- leitung zielten, was nicht mit einer Aufsichtsbeschwerde bei der Aufsichtsbe- hörde beanstandet werden könne, sondern vielmehr durch die rechtspre- chende Gewalt zu beurteilen sei. Der Beschwerdeführer mache im Übrigen keine (eigentlichen) Verletzungen irgendwelcher Amtspflichten der Beschwer- degegnerin 1 geltend.</w:t>
      </w:r>
    </w:p>
    <w:p>
      <w:r>
        <w:rPr>
          <w:b/>
        </w:rPr>
        <w:t>E. 3</w:t>
      </w:r>
    </w:p>
    <w:p>
      <w:r>
        <w:t>Mit Eingabe vom 16. Juli 2024, hierorts eingegangen am 22. Juli 2024 (act. 1), erhob der Beschwerdeführer gegen das Urteil vom 10. Juli 2024 fristgerecht Beschwerde und stellte die folgenden Anträge (act. 1): "1) Das Urteil sei vollumfänglich aufzuheben. 2) Die Schlichtungsstelle sei anzuweisen, dass kein Schlichtungs- verfahren, dass kein Mietrecht zur Anwendung kommt. 3) Allfällige Kosten sind auf Staatskosten zu nehmen rsp. dem pri- mären Verursacher B._____ aufzuerlegen."</w:t>
      </w:r>
    </w:p>
    <w:p>
      <w:r>
        <w:t>- 3 -</w:t>
      </w:r>
    </w:p>
    <w:p>
      <w:r>
        <w:rPr>
          <w:b/>
        </w:rPr>
        <w:t>E. 4</w:t>
      </w:r>
    </w:p>
    <w:p>
      <w:r>
        <w:t>Die Verwaltungskommission eröffnete in der Folge das vorliegende Verfahren und zog die Akten des Bezirksgerichts Uster Geschäfts-Nr. BA240002-I (act. 5/1–5) bei.</w:t>
      </w:r>
    </w:p>
    <w:p>
      <w:r>
        <w:rPr>
          <w:b/>
        </w:rPr>
        <w:t>E. 5</w:t>
      </w:r>
    </w:p>
    <w:p>
      <w:r>
        <w:t>Nach § 83 Abs. 2 des Gesetzes über die Gerichts- und Behördenorganisation im Zivil- und Strafprozess (GOG, LS 211.1) bzw. § 84 GOG i.V.m. Art. 322 Abs. 1 der Zivilprozessordnung (ZPO, SR 272) stellt die Rechtsmittelinstanz die Aufsichtsbeschwerde der Gegenpartei zur schriftlichen Stellungnahme zu, es sei denn, die Beschwerde erweise sich als sofort unzulässig oder unbe- gründet. Da dies – wie im Folgenden zu zeigen sein wird – der Fall ist, kann auf das Einholen einer Stellungnahme der Beschwerdegegner verzichtet wer- den (vgl. zum Ganzen HAUSER/SCHWERI/LIEBER, Kommentar zum GOG, 2. Aufl., 2017, § 83 N 17). Das Verfahren erweist sich als spruchreif. Auf die Vorbringen des Beschwerdeführers ist nachfolgend einzugehen, soweit dies unter Hinweis auf § 83 Abs. 3 GOG notwendig erscheint.</w:t>
      </w:r>
    </w:p>
    <w:p>
      <w:r>
        <w:rPr>
          <w:b/>
        </w:rPr>
        <w:t>E. 6</w:t>
      </w:r>
    </w:p>
    <w:p>
      <w:r>
        <w:t>Wie die Vorinstanz korrekt festhält (act. 3, E. 3.3), ist vorliegend nicht ausge- schlossen, dass es sich um eine mietrechtliche Streitigkeit handeln könnte: So werden im "Beherbergungsvertrag" (act. 5/2/1) insbesondere Begrifflich- keiten wie "Mietsache", "Mietzeit", "Mietbeginn", "Mietzins" und "Mietverhält- nis" verwendet und darüber hinaus wurde der Vertrag auf unbestimmte Zeit</w:t>
      </w:r>
    </w:p>
    <w:p>
      <w:r>
        <w:t>- 6 - abgeschlossen. Damit scheint aber auch die Zuständigkeit der Schlichtungs- behörde in Mietsachen jedenfalls nicht ausgeschlossen.</w:t>
      </w:r>
    </w:p>
    <w:p>
      <w:r>
        <w:rPr>
          <w:b/>
        </w:rPr>
        <w:t>E. 7</w:t>
      </w:r>
    </w:p>
    <w:p>
      <w:r>
        <w:t>Damit ist die Vorladung zur Schlichtungsverhandlung weder offensichtlich haltlos noch mutwillig oder qualifiziert falsch, weshalb die Aufsichtsbe- 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