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VB100040 vom 8. August 2011</w:t>
      </w:r>
    </w:p>
    <w:p>
      <w:r>
        <w:t>ZH Obergericht, 2011-08-08, DE</w:t>
      </w:r>
    </w:p>
    <w:p>
      <w:r>
        <w:rPr>
          <w:b/>
        </w:rPr>
        <w:t xml:space="preserve">Quelle: </w:t>
      </w:r>
      <w:r>
        <w:t>https://mcp.opencaselaw.ch/entscheid/zh_obergericht_VB100040</w:t>
      </w:r>
    </w:p>
    <w:p>
      <w:r>
        <w:t>FR: ZH_OBERGERICHT VB100040 du 8 août 2011</w:t>
      </w:r>
    </w:p>
    <w:p>
      <w:r>
        <w:t>IT: ZH_OBERGERICHT VB100040 del 8 agosto 2011</w:t>
      </w:r>
    </w:p>
    <w:p>
      <w:pPr>
        <w:pStyle w:val="Heading2"/>
      </w:pPr>
      <w:r>
        <w:t>Erwägungen</w:t>
      </w:r>
    </w:p>
    <w:p>
      <w:r>
        <w:rPr>
          <w:b/>
        </w:rPr>
        <w:t>E. 1</w:t>
      </w:r>
    </w:p>
    <w:p>
      <w:r>
        <w:t>Februar 2009 (Urk. 6/27). Gleichzeitig sprach der Einzelrichter dem Beschwer- deführer für seine bisherigen Bemühungen und Barauslagen als unentgeltlicher Rechtsvertreter (unter Hinweis auf die Anwaltsgebührenverordnung) eine Akonto- zahlung von Fr. 5'000.– zu (Urk. 6/27). Unter dem 7., 11. bzw. 20. Mai 2010 schlossen die Parteien eine güterrecht- liche Vereinbarung (Urk. 6/34), welche schliesslich – im Rahmen einer Wieder- erwägung – die Zustimmung der Vormundschaftsbehörde F._____ fand (Urk. 6/ 29/8, Urk. 6/35). Basierend auf diese Vereinbarung traf der Einzelrichter mit Urteil vom 1. Oktober 2010 seinen Endentscheid über die güterrechtliche Auseinander- setzung (Urk. 6/37).</w:t>
      </w:r>
    </w:p>
    <w:p>
      <w:r>
        <w:rPr>
          <w:b/>
        </w:rPr>
        <w:t>E. 2</w:t>
      </w:r>
    </w:p>
    <w:p>
      <w:r>
        <w:t>Mit Eingabe vom 20. Oktober 2010 an die Vorinstanz machte der Be- schwerdeführer insgesamt einen Zeitaufwand von 126.75 Stunden sowie Aus- lagen von Fr. 762.90 geltend, was zu einem Rechnungstotal von Fr. 23'098.55 (inkl. 7,6% Mehrwertsteuer) führte (Urk. 6/40 und 6/41). Der Vorderrichter erachtete den Zeitaufwand als unangemessen hoch. Mit Verfügung vom 28. Oktober 2010 kürzte er das Honorar auf Fr. 12'000.– und setzte die Entschädigung unter Vergütung der Barauslagen (Fr. 762.90) auf total Fr. 13'732.90 (inkl. 7,6% Mehrwertsteuer) fest. Unter Berücksichtigung der geleis- teten Akontozahlung von Fr. 5'000.– resultierte damit ein Ausstand von noch Fr. 8'732.90 (Urk. 6/42 = Urk. 2).</w:t>
      </w:r>
    </w:p>
    <w:p>
      <w:r>
        <w:rPr>
          <w:b/>
        </w:rPr>
        <w:t>E. 3</w:t>
      </w:r>
    </w:p>
    <w:p>
      <w:r>
        <w:t>Dagegen erhob der Beschwerdeführer rechtzeitig, mit Eingabe vom 10. Dezember 2010, Beschwerde bei der Verwaltungskommission. Er beantragt was folgt (Urk. 1 S. 1):</w:t>
      </w:r>
    </w:p>
    <w:p>
      <w:r>
        <w:t>- 4 - "Die von der Vorinstanz festgelegte Entschädigung als unentgeltlicher Rechtsvertreter des Beklagten sei angemessen zu erhöhen, unter Kosten- und Entschädigungsfolge zu Lasten der Vorinstanz."</w:t>
      </w:r>
    </w:p>
    <w:p>
      <w:r>
        <w:rPr>
          <w:b/>
        </w:rPr>
        <w:t>E. 4</w:t>
      </w:r>
    </w:p>
    <w:p>
      <w:r>
        <w:t>Die Beschwerdeantwort der Vorinstanz datiert vom 16. Dezember 2010 ging am 21. Dezember 2010 hier ein (Urk. 5). II. Auf den 1. Januar 2011 ist die neue Schweizerische Zivilprozessordnung (ZPO, SR 272) in Kraft getreten. Gemäss Art. 404 Abs. 1 ZPO gilt indes für Ver- fahren, die bei Inkrafttreten dieses Gesetzes bereits rechtshängig waren, das bis- herige Verfahrensrecht bis zum Abschluss vor der betroffenen Instanz. Damit sind für das Verfahren vor der Verwaltungskommission weiterhin die bisherigen Ver- fahrensbestimmungen anzuwenden. Dasselbe gilt für die Anwaltungsgebühren: Am 1. Januar 2011 ist zwar die neue Verordnung über die Anwaltsgebühren vom 8. September 2010 in Kraft ge- treten (AnwGebV; LS 215.3); in der vorliegenden Angelegenheit ist indes noch die Verordnung des Obergerichts über die Anwaltsgebühren vom 21. Juni 2006 (aAnwGebV) anwendbar (§ 25 AnwGebV). III. Nach § 108 Abs. 1 Satz 1 GVG/ZH kann wegen Rechtsverweigerung und Rechtsverzögerung der Gerichtsbehörden sowie wegen anderer Verletzungen von Amtspflichten bei der nächst übergeordneten Aufsichtsbehörde Beschwerde geführt werden. Die Beschwerde steht auch gegen Entscheide über die Festset- zung der Entschädigung des unentgeltlichen Rechtsvertreters offen (Hauser/ Schweri, Kommentar zum zürcherischen Gerichtsverfassungsgesetzes, Zürich 2002, N 24 zu § 108 GVG; Frank/Sträuli/Messmer, Kommentar zur zürcherischen Zivilprozessordnung, 3. A., Zürich 1997, N 11 zu § 89 ZPO/ZH und N 26 zu § 271 ZPO/ZH, N 6b Anhang II/zu § 108 GVG). Aufsichtsbehörde über die Bezirks- gerichte ist das Obergericht (§ 106 GVG); es hat die Rechtsprechung in Justiz-</w:t>
      </w:r>
    </w:p>
    <w:p>
      <w:r>
        <w:t>- 5 - verwaltungssachen der Verwaltungskommission übertragen (§ 21 Abs. 1 lit. a in Verbindung mit § 19 Abs. 3 der Verordnung über die Organisation des Ober- gerichts vom 22. Juni 2005 bzw. § 18 Abs. 1 lit. a i.V.m. § 16 Abs. 3 der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