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VB070035 vom 5. Dezember 2007</w:t>
      </w:r>
    </w:p>
    <w:p>
      <w:r>
        <w:t>ZH Obergericht, 2007-12-05, DE</w:t>
      </w:r>
    </w:p>
    <w:p>
      <w:r>
        <w:rPr>
          <w:b/>
        </w:rPr>
        <w:t xml:space="preserve">Quelle: </w:t>
      </w:r>
      <w:r>
        <w:t>https://mcp.opencaselaw.ch/entscheid/zh_obergericht_VB070035</w:t>
      </w:r>
    </w:p>
    <w:p>
      <w:r>
        <w:t>FR: ZH_OBERGERICHT VB070035 du 5 décembre 2007</w:t>
      </w:r>
    </w:p>
    <w:p>
      <w:r>
        <w:t>IT: ZH_OBERGERICHT VB070035 del 5 dicembre 2007</w:t>
      </w:r>
    </w:p>
    <w:p>
      <w:pPr>
        <w:pStyle w:val="Heading2"/>
      </w:pPr>
      <w:r>
        <w:t>Erwägungen</w:t>
      </w:r>
    </w:p>
    <w:p>
      <w:r>
        <w:rPr>
          <w:b/>
        </w:rPr>
        <w:t>E. 1</w:t>
      </w:r>
    </w:p>
    <w:p>
      <w:r>
        <w:t>Mit Verrechnungsanzeige vom 19. September 2007 teilte der Beschwerde- gegner dem Rechtsvertreter des Beschwerdeführers mit, der frei geworde- nen Prozesskaution seines Klienten in der Höhe von Fr. 17'083.– (Entscheid des Arbeitsgerichts Zürich vom 27. August 2007 [AN070343]; vgl. act. 2/2) stünden offene Gerichtskosten in der Höhe von Fr. 19'140.95 (Entscheid des Bezirksgerichts Zürich vom 12. Januar 2006 [GG050755]) gegenüber. Das Guthaben der Kasse reduziere sich damit auf Fr. 2'057.95; für diese offene Kostenforderung sei mit seinem Mandanten eine Teilzahlungsvereinbarung abgeschlossen worden (act. 2/3).</w:t>
      </w:r>
    </w:p>
    <w:p>
      <w:r>
        <w:rPr>
          <w:b/>
        </w:rPr>
        <w:t>E. 2</w:t>
      </w:r>
    </w:p>
    <w:p>
      <w:r>
        <w:t>Mit Schreiben vom 24. September 2007 wies der Rechtsvertreter des Be- schwerdeführers den Beschwerdegegner darauf hin, dass aus den Überwei- sungsbelegen der Bank ersichtlich sei, dass B._____ die Kautionszahlungen von insgesamt Fr. 18'000.– geleistet habe. Dieser sei die Rückerstattung der Kaution zugesagt worden, soweit sie nicht im betreffenden Prozess vor Ar- beitsgericht beansprucht werde. Diese Abmachung sei nicht nur den Bank- belegen zu entnehmen, sie ergebe sich auch aus der Stundungsvereinba- rung (Abzahlungsmodus), die sein Mandant bereits geraume Zeit vor Beginn des Prozesses vor dem Arbeitsgericht mit der Kasse des Bezirksgerichtes Zürich eingegangen sei. Dieser habe die Abzahlungsvereinbarung stets ein- gehalten und dies auch gegenüber B._____ bestätigt. Die für den Prozess vor Arbeitsgericht nicht beanspruchte Kaution sei daher im Betrage von Fr. 17'083.– an B._____ zurückzuzahlen. Die Voraussetzungen für eine Ver- rechnung seien nicht erfüllt (act. 2/4).</w:t>
      </w:r>
    </w:p>
    <w:p>
      <w:r>
        <w:rPr>
          <w:b/>
        </w:rPr>
        <w:t>E. 3</w:t>
      </w:r>
    </w:p>
    <w:p>
      <w:r>
        <w:t>Mit Antwortschreiben vom 3. Oktober 2007 hielt das Zentrale Inkasso unter Hinweis auf den Beschluss der Verwaltungskommission vom 30. März 2006 i.S. X. Rechtsschutzversicherungs-Gesellschaft gegen Obergericht des Kan- tons Zürich an seiner Verrechnungserklärung fest (act. 2/5 [VB060002]). Zur Begründung wurde sodann entgegnet, es treffe nicht zu, dass der Be-</w:t>
      </w:r>
    </w:p>
    <w:p>
      <w:r>
        <w:t>- 3 - schwerdeführer die vereinbarte Teilzahlungsvereinbarung stets eingehalten habe. Das Zentrale Inkasso habe wegen ausgebliebener Ratenzahlungen bereits zweimal gegen ihn die Betreibung einleiten müssen. Es werde darauf hingewiesen, dass gegen die angezeigte Verrechnung Kostenbeschwerde bei der Verwaltungskommission des Obergerichts erhoben werden könne (act. 2/1).</w:t>
      </w:r>
    </w:p>
    <w:p>
      <w:r>
        <w:rPr>
          <w:b/>
        </w:rPr>
        <w:t>E. 4</w:t>
      </w:r>
    </w:p>
    <w:p>
      <w:r>
        <w:t>Mit Beschwerde vom 12. Oktober 2007 beantragte der Beschwerdeführer der Verwaltungskommission, die Bezirksgerichtskasse sei anzuweisen, die für den Prozess beim Arbeitsgericht Zürich verlangten und von B._____ aus eigenen Mitteln persönlich einbezahlten beiden Kautionsbeträge von zu- sammen Fr. 18'000.– im nicht beanspruchten Umfang von Fr. 17'083.– an diese zurückzuzahlen. Zur Begründung wurde vorgetragen, in den Kauti- onsbeschlüssen vom 23. Mai und 12. Juni 2007 sei ausdrücklich darauf hin- gewiesen worden, dass die Kautionen für die den Kläger „allenfalls treffen- den Prozesskosten und einer Prozessentschädigung an die Gegenpartei“ bestimmt seien (act. 2/2; act. 3). B._____ habe die Kautionen von insgesamt Fr. 18'000.– gestützt auf diese Zusage im eigenen Namen und auf eigene Rechnung über ihre Bank und ausdrücklich unter Bezugnahme auf die Kau- tionsbeschlüsse bei der Bezirksgerichtskasse einbezahlt. Dazu werde nöti- genfalls Edition der Bankbelege verlangt. Der vorliegende Sachverhalt sei mit demjenigen des Beschlusses der Verwaltungskommission vom 30. März 2006 nicht identisch (vgl. vorne E. I.3). Wenn die Zahlung von dritter Seite zu einem festgelegten Zweck erfolge, wie hier zur Deckung der Kosten des Prozesses AN070343 vor Arbeitsgericht, so dürfe sie unter keinem Titel für anderweitige Gerichtsschulden einer Prozesspartei herangezogen werden. Es sei mit Treu und Glauben nicht vereinbar, wenn die Kasse sich nicht an die in den Kautionsbeschlüssen abgegebenen Zusicherungen bezüglich Verwendungszweck der Kaution halte. Es sei auch nicht einzusehen, wieso der Dritte, der Barzahlung leiste, schlechter gestellt sein sollte als derjenige, der die Kaution durch Hinterlegung von Wertschriften oder durch Einliefe- rung einer Bankgarantie erbringe (act. 1).</w:t>
      </w:r>
    </w:p>
    <w:p>
      <w:r>
        <w:t>- 4 -</w:t>
      </w:r>
    </w:p>
    <w:p>
      <w:r>
        <w:rPr>
          <w:b/>
        </w:rPr>
        <w:t>E. 5</w:t>
      </w:r>
    </w:p>
    <w:p>
      <w:r>
        <w:t>Der Beschwerdegegner verzichtete mit Eingabe vom 22. Oktober 2007 auf eine Beschwerdeantwort, wies aber gegenüber der ursprünglichen Verfü- gung vom 19. September 2007 neu ein Guthaben von Fr. 1'857.95 aus (Fr. 18'940.95 ./. Fr. 17'083.–; vgl. vorne E. I.1; act. 6).</w:t>
      </w:r>
    </w:p>
    <w:p>
      <w:r>
        <w:rPr>
          <w:b/>
        </w:rPr>
        <w:t>E. 6</w:t>
      </w:r>
    </w:p>
    <w:p>
      <w:r>
        <w:t>zu § 79 ZPO m. Hinw. auf ZR 44 Nr. 5). Das Verrechnungsrecht bestimmt sich diesfalls nach der vertraglichen Regelung, wobei das Gericht – wie bei einem Angebot zur Schuldübernahme – einer Einschränkung der Verrech- nungsmöglichkeiten zustimmen kann (vgl. Beschluss der Verwaltungskom- mission vom 28. August 2002, E. 5 [VB020024]).</w:t>
      </w:r>
    </w:p>
    <w:p>
      <w:r>
        <w:rPr>
          <w:b/>
        </w:rPr>
        <w:t>E. 7</w:t>
      </w:r>
    </w:p>
    <w:p>
      <w:r>
        <w:t>Auch wenn mit der abschliessenden Stellungnahme vom 1. November 2007 (act. 10) eine "Bestätigung" von B._____ vom 29. Oktober 2007 eingereicht wurde, wonach sie "bezüglich der Kautionsrückforderung, im Fall A._____ / A'._____ AG, juristisch durch Dr. iur. X._____ vertreten werde" (act. 11), ist B._____ nicht Partei im vorliegenden Beschwerdeverfahren. Weder aus act.</w:t>
      </w:r>
    </w:p>
    <w:p>
      <w:r>
        <w:rPr>
          <w:b/>
        </w:rPr>
        <w:t>E. 11</w:t>
      </w:r>
    </w:p>
    <w:p>
      <w:r>
        <w:t>geht nämlich hervor, noch ist den Eingaben vom 12. Oktober und 1. No- vember 2007 (act. 1 und 10) zu entnehmen, dass die Beschwerde auch in ihrem Namen erhoben wird. Ob – wie der Beschwerdeführer in act. 10 aus- führt – B._____ ein eigenes, schützenswertes Interesse an einer Rückerstat- tung der Kautionszahlungen hat, ist hier daher ohne Relevanz. 8. Die Beschwerde ist demnach abzuweisen. Die Kosten des Beschwerdever- fahrens sind dem unterliegenden Beschwerdeführer aufzuerlegen. Eine Pro- zessentschädigung ist ihm damit nicht zuzusprechen. Die Verwaltungskommission beschliesst: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