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VB060050 vom 7. Februar 2007</w:t>
      </w:r>
    </w:p>
    <w:p>
      <w:r>
        <w:t>ZH Obergericht, 2007-02-07, DE</w:t>
      </w:r>
    </w:p>
    <w:p>
      <w:r>
        <w:rPr>
          <w:b/>
        </w:rPr>
        <w:t xml:space="preserve">Quelle: </w:t>
      </w:r>
      <w:r>
        <w:t>https://mcp.opencaselaw.ch/entscheid/zh_obergericht_VB060050</w:t>
      </w:r>
    </w:p>
    <w:p>
      <w:r>
        <w:t>FR: ZH_OBERGERICHT VB060050 du 7 février 2007</w:t>
      </w:r>
    </w:p>
    <w:p>
      <w:r>
        <w:t>IT: ZH_OBERGERICHT VB060050 del 7 febbraio 2007</w:t>
      </w:r>
    </w:p>
    <w:p>
      <w:pPr>
        <w:pStyle w:val="Heading2"/>
      </w:pPr>
      <w:r>
        <w:t>Regeste</w:t>
      </w:r>
    </w:p>
    <w:p>
      <w:r>
        <w:t>[PDF text extraction failed for VB060050]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