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UR110001 vom 29. November 2011</w:t>
      </w:r>
    </w:p>
    <w:p>
      <w:r>
        <w:t>ZH Obergericht, 2011-11-29, DE</w:t>
      </w:r>
    </w:p>
    <w:p>
      <w:r>
        <w:rPr>
          <w:b/>
        </w:rPr>
        <w:t xml:space="preserve">Quelle: </w:t>
      </w:r>
      <w:r>
        <w:t>https://mcp.opencaselaw.ch/entscheid/zh_obergericht_UR110001</w:t>
      </w:r>
    </w:p>
    <w:p>
      <w:r>
        <w:t>FR: ZH_OBERGERICHT UR110001 du 29 novembre 2011</w:t>
      </w:r>
    </w:p>
    <w:p>
      <w:r>
        <w:t>IT: ZH_OBERGERICHT UR110001 del 29 novembre 2011</w:t>
      </w:r>
    </w:p>
    <w:p>
      <w:pPr>
        <w:pStyle w:val="Heading2"/>
      </w:pPr>
      <w:r>
        <w:t>Erwägungen</w:t>
      </w:r>
    </w:p>
    <w:p>
      <w:r>
        <w:rPr>
          <w:b/>
        </w:rPr>
        <w:t>E. 1</w:t>
      </w:r>
    </w:p>
    <w:p>
      <w:r>
        <w:t>bis 4, 8, 9, und 12 bis 19 nicht ein. Weiter hielt sie fest, dass es dem Rekurren- ten hinsichtlich der Vorwürfe 5 bis 7 sowie 10 und 11 an der Geschädigtenstellung fehle und über diese Vorwürfe separat entschieden werde (Urk. 6 = Urk. 3/1). Ge- gen diese Verfügung liess der Rekurrent fristgerecht Rekurs mit folgenden Anträ- gen erheben (Urk. 2): "1. Die Nichteintretensverfügung der Staatsanwaltschaft III vom 14. Dezember 2010 sei aufzuheben.</w:t>
      </w:r>
    </w:p>
    <w:p>
      <w:r>
        <w:rPr>
          <w:b/>
        </w:rPr>
        <w:t>E. 2</w:t>
      </w:r>
    </w:p>
    <w:p>
      <w:r>
        <w:t>Die Strafuntersuchung gegen die beanzeigten Personen sei zu eröffnen.</w:t>
      </w:r>
    </w:p>
    <w:p>
      <w:r>
        <w:rPr>
          <w:b/>
        </w:rPr>
        <w:t>E. 2.1</w:t>
      </w:r>
    </w:p>
    <w:p>
      <w:r>
        <w:t>Veruntreuung Den Tatbestand der Veruntreuung erfüllt u.a., wer ihm anvertraute Vermögens- werte (Sachen oder Forderungen) unrechtmässig in seinem oder eines andern Nutzen verwendet; mithin wer Vermögenswerte, die nicht fremd sind, weil sie rechtlich, nicht aber wirtschaftlich in seinem Eigentum stehen, und worüber er mit Willen des Berechtigten die Herrschaft ausübt, pflichtwidrig im eigenen Nutzen verwendet (Art. 138 Ziff. 1 Abs. 2 StGB; Trechsel/Crameri, Schweizerisches Strafgesetzbuch, Praxiskommentar, Trechsel et al. [Hrsg.], Zürich/St. Gallen</w:t>
      </w:r>
    </w:p>
    <w:p>
      <w:r>
        <w:t>- 11 - 2008, Art. 138 N 1 ff., insbes. N 10 ff.). Der Treuhänder ist verpflichtet, dem Treu- geber den Wert des Empfangenen ständig zu erhalten (BGE 133 IV 28). Die un- rechtmässige (pflichtwidrige) Verwendung besteht in einem Verhalten, durch wel- ches der Täter eindeutig seinen Willen bekundet, den obligatorischen Anspruch des Treugebers zu vereiteln. Sie liegt regelmässig darin, dass der Täter das Emp- fangene weisungswidrig verwendet (BGE 129 IV 259), insbesondere es zu seinen eigenen Gunsten oder im Interesse eines Dritten verbraucht, veräussert oder ver- pfändet, ohne dem Treugeber aus anderen Mitteln jederzeit entsprechende Werte zur Verfügung zu halten (Donatsch/Flachsmann/Hug/Weder, Kommentar Schwei- zerisches Strafgesetzbuch, Zürich 2006, Art. 138 N 19). Anvertraut im Sinne von Art. 138 StGB sind Vermögenswerte gemäss bundesge- richtlicher Rechtsprechung dann, wenn sie jemand mit der Verpflichtung emp- fängt, sie in bestimmter Weise im Interesse eines anderen zu verwenden, insbe- sondere zu verwahren, zu verwalten oder abzuliefern (BGE 80 IV 55, BGE 133 IV 27). Anvertraut ist damit, was mit rechtlich beschränkter Verfügungsbefugnis überlassen wird, ohne dass eine unmittelbare Kontrolle der Verwendung möglich oder üblich ist (Trechsel/Crameri, a.a.O., Art. 138 N 4; ZR 91 [1992] Nr. 63).</w:t>
      </w:r>
    </w:p>
    <w:p>
      <w:r>
        <w:rPr>
          <w:b/>
        </w:rPr>
        <w:t>E. 2.2</w:t>
      </w:r>
    </w:p>
    <w:p>
      <w:r>
        <w:t>Ungetreue Geschäftsbesorgung Wer aufgrund des Gesetzes, eines behördlichen Auftrages oder eines Rechtsge- schäfts damit betraut ist, Vermögen eines andern zu verwalten oder eine solche Vermögensverwaltung zu beaufsichtigen, und dabei unter Verletzung seiner Pflichten bewirkt oder zulässt, dass der andere am Vermögen geschädigt wird, wird mit Freiheitsstrafe bis zu drei Jahren oder Geldstrafe bestraft (Art. 158 Ziff. 1 Abs. 1 StGB). Handelt der Täter in der Absicht, sich oder einen andern unrecht- mässig zu bereichern, so kann auf Freiheitsstrafe von einem Jahr bis zu fünf Jah- ren erkannt werden (Art. 158 Ziff. 1 Abs. 3 StGB). Der Tatbestand des sogenann- ten "Treubruchs" nach Art. 158 Ziff. 1 StGB kennt vier Voraussetzungen, nämlich die Eigenschaft als "Geschäftsführer" (wer in tatsächlich und formell selbständiger und verantwortlicher Stellung im Interesse eines anderen für einen Vermögens- komplex zu sorgen hat), die Verletzung der damit zusammenhängenden Pflicht, ein daraus resultierender Vermögensschaden sowie Vorsatz hinsichtlich dieser</w:t>
      </w:r>
    </w:p>
    <w:p>
      <w:r>
        <w:t>- 12 - Elemente (BGE 120 IV 192; vgl. dazu statt Vieler: Niggli, Basler Kommentar, Strafrecht II, Basel 2007, Art. 158 N 9 und N 11).</w:t>
      </w:r>
    </w:p>
    <w:p>
      <w:r>
        <w:rPr>
          <w:b/>
        </w:rPr>
        <w:t>E. 2.3</w:t>
      </w:r>
    </w:p>
    <w:p>
      <w:r>
        <w:t>Betrug Wegen Betruges ist strafbar, wer in der Absicht, sich oder einen andern unrecht- mässig zu bereichern, jemanden durch Vorspiegelung oder Unterdrückung von Tatsachen arglistig irreführt oder ihn in einem Irrtum arglistig bestärkt und so den Irrenden zu einem Verhalten bestimmt, wodurch dieser sich selbst oder einen an- dern am Vermögen schädigt (Art. 146 Abs. 1 StGB). Unter Vermögensdisposition ist jede Handlung, Duldung oder Unterlassung des Irrenden zu verstehen, die geeignet ist, eine Vermögensverminderung herbeizu- führen. Der Getäuschte muss also sich selbst oder das in seiner Verfügungs- macht stehende fremde Vermögen schädigen. Zu den vermögenvermindernden Handlungen gehören namentlich die Auszahlung von Geld, Herausgabe von Sa- chen, das Erbringen geldwerter Leistungen, der Verzicht auf Forderungen und das Eingehen vertraglicher Verpflichtungen (Donatsch, Strafrecht III, Zürich 2008, S. 208 m.w.H.). Die Vermögensdisposition muss stets auf den Irrtum des Ge- täuschten zurückzuführen sein (Donatsch, a.a.O., S. 209; BGE 126 IV 117). Der Betroffene muss zufolge des irreführenden Verhaltens und seines Irrtums zur Vermögensverfügung motiviert worden sein. Gänzlich straflos bleibt nach Art. 146 StGB, wer jemanden erst irreführt, nachdem dieser bereits eine Vermögensdispo- siton getroffen hat (Donatsch, a.a.O., S. 209; BGE 72 IV 74).</w:t>
      </w:r>
    </w:p>
    <w:p>
      <w:r>
        <w:rPr>
          <w:b/>
        </w:rPr>
        <w:t>E. 2.4</w:t>
      </w:r>
    </w:p>
    <w:p>
      <w:r>
        <w:t>Verjährung</w:t>
      </w:r>
    </w:p>
    <w:p>
      <w:r>
        <w:rPr>
          <w:b/>
        </w:rPr>
        <w:t>E. 2.4.1</w:t>
      </w:r>
    </w:p>
    <w:p>
      <w:r>
        <w:t>Die Bestimmungen über die Verfolgungsverjährung wurden im Jahr 2002 umfassend revidiert und traten am 1. Oktober 2002 in Kraft. Das alte Recht ist in der Regel das mildere und der Grundsatz der "lex mitior" gelangt auch bei der Verjährung zur Anwendung (Art. 389 StGB; Hug, in: Donatsch (Hrsg.), StGB Kommentar, Zürich 2010, Art. 97 N 1 f.). Gemäss dem alten Recht betrugen die relativen Verjährungsfristen bei mit Gefängnis von mehr als drei Jahren oder mit Zuchthaus bedrohten Taten zehn Jahre und wenn die Tat mit einer anderen Stra-</w:t>
      </w:r>
    </w:p>
    <w:p>
      <w:r>
        <w:t>- 13 - fe (als die eben erwähnten oder lebenslänglichem Zuchthaus) bedroht war, fünf Jahre (Art. 70 Abs. 2 und 3 aStGB). Gemäss neuem Recht betragen die Fristen der Verfolgungsverjährung bei Taten, die mit einer Freiheitsstrafe von mehr als drei Jahren bedroht sind, fünfzehn Jahre und bei Taten, die mit einer anderen Strafe (als die eben erwähnten oder lebenslänglicher Freiheitsstrafe) bedroht sind, sieben Jahre (Art. 97 Abs. 1 lit. b und c StGB). Demnach ist vorliegend das alte Recht milder und somit auf die Verfolgungsverjährung anwendbar. Betrug, Veruntreuung, ungetreue Geschäftsbesorgung mit Bereicherungsabsicht, Urkundenfälschung und falsche Zeugenaussage waren nach altem Recht mit Ge- fängnis von mehr als drei Jahren bedroht (Art. 146 Abs. 1 aStGB; Art. 138 Ziff. 1 aStGB; Art. 158 Ziff. 1 Abs. 3 aStGB; Art. 251 aStGB; Art. 307 Abs. 1 aStGB). Für diese Delikte beträgt die Frist für die Verfolgungsverjährung zehn Jahre (Art. 70 Abs. 2 aStGB).</w:t>
      </w:r>
    </w:p>
    <w:p>
      <w:r>
        <w:rPr>
          <w:b/>
        </w:rPr>
        <w:t>E. 2.4.2</w:t>
      </w:r>
    </w:p>
    <w:p>
      <w:r>
        <w:t>Die Verjährung beginnt mit dem Tag, an dem der Täter die strafbare Tätig- keit ausführt; wenn der Täter die strafbare Tätigkeit zu verschiedenen Zeiten aus- führt, mit dem Tag, an dem er die letzte Tätigkeit ausführt; wenn das strafbare Verhalten dauert, mit dem Tag, an dem dieses Verhalten aufhört (Art. 98 StGB; Art. 71 aStGB). Für den Regelfall eines sog. Zustandsdeliktes beginnt die Frist mit dem Tag, an welchem der Täter die strafbare Tätigkeit ausführt. Massgebend ist also stets der Zeitpunkt der tatbestandsmässigen Handlung, nicht derjenige des Eintritts eines allenfalls zur Vollendung des Deliktes erforderlichen Erfolges (Donatsch/Tag, Strafrecht I, Zürich 2006, S. 418). Das Bundesgericht hat in BGE 124 IV 59 (Pra 1998 Nr. 76 S. 466) erkannt, dass die einzelnen strafbaren Handlungen eines gewerbsmässigen Betrugs keine ver- jährungsrechtliche Einheit bilden. Die einzelnen Betrüge seien selbst bei Ge- werbsmässigkeit rechtlich eigenständige Taten mit der Folge, dass jede Tat ein- zeln verjähre. Mehrere Betrüge bilden nach dem zitierten Entscheid somit selbst dann keine verjährungsrechtliche Einheit, wenn der Täter gewerbsmässig handelt. Daraus folgt, dass mehrere Betrüge auch und erst recht keine verjährungsrechtli-</w:t>
      </w:r>
    </w:p>
    <w:p>
      <w:r>
        <w:t>- 14 - che Einheit darstellen, wenn das Merkmal der Gewerbsmässigkeit fehlt. In BGE 131 IV 83 wurde die Rechtsfigur der verjährungsrechtlichen Einheit aufge- geben. Neben den Dauerdelikten sind daher mehrere tatsächliche Handlungen nur noch unter bestimmten Voraussetzungen der tatbestandlichen und der natür- lichen Handlungseinheit als Einheit zu qualifizieren. Liegt zwischen den einzelnen Handlungen – selbst wenn diese aufeinander bezogen sind – ein längerer Zeit- raum, fällt eine natürliche Handlungseinheit ausser Betracht. Abgesehen von die- sen Konstellationen ist der Lauf der Verjährung für jede Tat gesondert zu beurtei- len (BGE 131 IV 93 ff.; BGE 131 IV 113). Vorliegend fällt eine natürliche Hand- lungseinheit bereits aufgrund des längeren Zeitraums der zu beurteilenden Hand- lungen ausser Betracht.</w:t>
      </w:r>
    </w:p>
    <w:p>
      <w:r>
        <w:rPr>
          <w:b/>
        </w:rPr>
        <w:t>E. 2.4.3</w:t>
      </w:r>
    </w:p>
    <w:p>
      <w:r>
        <w:t>Der objektive Tatbestand des Betruges wird mit dem Eintritt des Vermö- gensschadens vollendet. Beendigt ist die Tat mit dem Eintritt der Bereicherung (Donatsch, a.a.O., S. 196). Ein Vermögensschaden liegt vor, wenn die vom Täter erbrachte Leistung bzw. die ihm gegenüber bestehende vertragliche Forderung schon bei rein objektiver Betrachtung einen geringeren Wert hat als der Betroffe- ne nach dem Vertrag hat erwarten dürfen, so z.B. wenn der Darlehensnehmer entgegen den beim Darleiher geweckten Erwartungen von Anfang an dermassen wenig Gewähr für eine vertragsgemässe Rückzahlung des Geldes bietet, dass die Forderung des Darleihers erheblich gefährdet und infolgedessen in ihrem Wert wesentlich herabgesetzt ist (Donatsch, a.a.O., S. 215; BGE 102 IV 88). Die Staatsanwaltschaft führte aus, massgebend für den Zeitpunkt der Schädigung sei der Abschluss des Verpflichtungsgeschäfts, mithin der Verkauf der J._____ AG (Urk. 10 S. 2). Der Rekurrent liess geltend machen, der Vermögensschaden habe sich erst in je- nem Moment verwirklicht, als sich D._____ und die B._____ AG auf einmal ge- weigert hätten, den noch offenen Verpflichtungen nachzukommen (Urk. 2 S. 5). Der Rekurrent liess ausführen, er habe gemäss Kaufvertrag vom 1. Juli 1999 sei- ne Firma, die J._____ AG, an die B._____ AG verkauft. Als Kaufpreis seien Fr. 24 Mio. vereinbart worden. Das Aktienkapital der Käuferin habe damals – wie er heu-</w:t>
      </w:r>
    </w:p>
    <w:p>
      <w:r>
        <w:t>- 15 - te wisse –, lediglich Fr. 100'000.– betragen. Die Käuferin sei also massiv unterka- pitalisiert gewesen, um den Kaufpreis zu finanzieren (Urk. 16 S. 2). Die B._____ AG bot demnach bereits bei Vertragsunterzeichnung am 1. Juli 1999 dermassen wenig Gewähr für eine vertragsgemässe Rückzahlung des Geldes, dass bereits damals die Forderung des Rekurrenten erheblich gefährdet und in ih- rem Wert wesentlich herabgesetzt war. Ein Vermögensschaden wäre daher be- reits mit der Vertragsunterzeichnung am 1. Juli 1999 eingetreten. Damit wäre ein Betrug bereits vollendet gewesen, weshalb die zehnjährige Verjährungsfrist be- reits damals zu laufen begann.</w:t>
      </w:r>
    </w:p>
    <w:p>
      <w:r>
        <w:rPr>
          <w:b/>
        </w:rPr>
        <w:t>E. 2.4.4</w:t>
      </w:r>
    </w:p>
    <w:p>
      <w:r>
        <w:t>Da der Vermögensschaden wie dargelegt bereits mit Unterzeichnung des Kaufvertrages vom 1. Juli 1999 entstanden ist, konnten die späteren Handlungen nicht mehr kausal für den Vermögensschaden sein. Ein allfälliger Betrug war be- reits in diesem Zeitpunkt vollendet, weshalb die angezeigten späteren Handlun- gen für den Betrug und damit auch für den Beginn der Verjährung des Betruges nicht kausal und nicht relevant sind. Die Verjährung des Betruges war demnach bereits bei Einreichung der Strafanzeige vom 4. Juni 2010 eingetreten. In seinem Vorwurf Nr. 1 liess der Rekurrent geltend machen, die Gründer der B._____ AG hätten eine nicht der Wahrheit entsprechende Stampa-Erklärung un- terzeichnet (Urk. 7/0060 S. 1). Die zehnjährige Verjährungsfrist war bei Einrei- chung der Strafanzeige vom 4. Juni 2010 bereits abgelaufen. Auch sofern diese Stampa-Erklärung für den Entscheid zum Vertragschluss vom 1. Juli 1999 kausal gewesen wäre, wäre sie zusammen mit dem Betrug verjährt. In seinem Vorwurf Nr. 3 liess der Rekurrent geltend machen, D._____ habe sich am 18. Dezember 1999 einen vom Rekurrenten entgegengenommenen Barbetrag in der Höhe von Fr. 500'000.– (angeblich für den Kauf eines Ferienhauses im …) mit Bereicherungsabsicht angeeignet (Urk. 7/0060 S. 1). Auch diesbezüglich war die zehnjährige Verjährungsfrist bereits zum Zeitpunkt der Strafanzeige vom</w:t>
      </w:r>
    </w:p>
    <w:p>
      <w:r>
        <w:rPr>
          <w:b/>
        </w:rPr>
        <w:t>E. 2.5</w:t>
      </w:r>
    </w:p>
    <w:p>
      <w:r>
        <w:t>Weitere Tatvorwürfe</w:t>
      </w:r>
    </w:p>
    <w:p>
      <w:r>
        <w:rPr>
          <w:b/>
        </w:rPr>
        <w:t>E. 2.5.1</w:t>
      </w:r>
    </w:p>
    <w:p>
      <w:r>
        <w:t>In Vorwurf Nr. 9 warf der Rekurrent D._____ Veruntreuung bzw. ungetreue Geschäftsbesorgung oder ein anderes Delikt vor, da er im Jahr 2005 für den Re- kurrenten einen Check über USD 345'000.– entgegen genommen habe. D._____ habe dem Rekurrenten dabei gesagt, dass aus "steuerlichen Gründen" dieser Check in der J._____ AG gebucht und gutgeschrieben werden müsse. Am 6. September 2005 sei dem Rekurrenten dieser Betrag als "Kaufpreiszahlung" für die J._____ AG gutgeschrieben worden. Eine Bargutschrift zu Gunsten des Re- kurrenten in der J._____ AG sei aber nie erfolgt (Urk. 7/0036 Ziff. 17 ff; Urk. 7/0044 S. 2; Urk.7/ 0058 Ziff. 7; Urk. 2 S. 7 f.). In seinen Vorwürfen Nr. 2 und 14 liess der Rekurrent D._____ Betrug, Verun- treuung oder ungetreue Geschäftsbesorgung vorwerfen, weil er am 28. Dezember 2000 und am 1. September 2004 vom Konto der J._____ AG bei der I._____ für einen Liegenschaftskauf im … den Betrag von Fr. 500'000.– bar bezogen und diesen Betrag anschliessend auf dem Kontokorrent des Rekurrenten bei der J._____ AG belastet habe (Urk. 7/0060). In seinen Vorwürfen Nr. 2 und 15 liess der Rekurrent D._____ Betrug, Verun- treuung oder ungetreue Geschäftsbesorgung vorwerfen, weil er am 10. und 17. März 2008 zu Unrecht Zinsbelastungen auf dem Kontokorrent des Rekurren- ten verbucht habe (willkürliche Manipulation der Valutatage) (Urk. 7/0060). In seinen Vorwürfen Nr. 2 und 16 liess der Rekurrent D._____ Betrug, Verun- treuung oder ungetreue Geschäftsbesorgung vorwerfen, da er am 3. September 2007 im Zusammenhang mit der Vermittlungstätigkeiten der B._____ AG mit der M._____ als mögliche Käuferin der J._____ AG eine Provisionszahlung mit dem dem Rekurrenten noch geschuldeten Kaufpreis verrechnet habe (Belastung die- ser Provisionszahlung als Kaufpreiszahlung) (Urk. 7/0060). In seinen Vorwürfen Nr. 2 und 17 liess der Rekurrent D._____ Betrug, Verun- treuung oder ungetreue Geschäftsbesorgung vorwerfen, da er am 4. Januar 2004</w:t>
      </w:r>
    </w:p>
    <w:p>
      <w:r>
        <w:t>- 18 - den Wertverlust von Fr. 22'185.– auf den von ihm privat gekauften Aktien auf der Kaufpreisschuld gutgeschrieben habe (Urk. 7/0058 Ziff. 12; Urk. 7/0060). In seinen Vorwürfen Nr. 2 und 18 liess der Rekurrent D._____, den Aktionären der B._____ AG sowie dem Verwaltungsrat der J._____ AG Betrug, Veruntreuung oder ungetreue Geschäftsbesorgung vorwerfen, da er am 4. Januar 2004 auf dem Kontokorrent des Rekurrenten bzw. zu Lasten der Kaufpreisansprüche des Re- kurrenten eine am 1. Juli 1999 längst vollzogene Abschreibung im Zusammen- hang mit dem Software-Projekt "N._____" belastet habe (Urk. 7/0060).</w:t>
      </w:r>
    </w:p>
    <w:p>
      <w:r>
        <w:rPr>
          <w:b/>
        </w:rPr>
        <w:t>E. 2.5.2</w:t>
      </w:r>
    </w:p>
    <w:p>
      <w:r>
        <w:t>Die Staatsanwaltschaft führte aus, es handle sich beim Kontokorrentkonto des Rekurrenten nicht um ein Konto bei einer Bank, sondern um ein Kontokorrent zwischen dem Rekurrenten als früheren Geschäftsinhaber der J._____ AG und der J._____ AG. Es handle sich dabei um ein gegenseitiges Schuldverhältnis, über welches die gegenseitigen Forderungen verrechnet würden. Ein Betrug liege von vornherein nicht vor, da es bereits an einer Vermögensdisposition des Rekur- renten aufgrund einer arglistigen Täuschung fehle. Sodann sei der J._____ AG weder Geld anvertraut noch sei diese Geschäftsführerin im Sinne von Art. 158 StGB des Rekurrenten. Vielmehr handle es sich um zivilrechtliche Streitigkeiten über die Höhe einer angeblich noch ausstehenden Kaufpreiszahlung (Urk. 6 S. 5).</w:t>
      </w:r>
    </w:p>
    <w:p>
      <w:r>
        <w:rPr>
          <w:b/>
        </w:rPr>
        <w:t>E. 2.5.3</w:t>
      </w:r>
    </w:p>
    <w:p>
      <w:r>
        <w:t>Der Rekurrent liess geltend machen, er habe sehr wohl eine Vermögens- disposition vorgenommen, indem er seine Aktien der J._____ AG an die B._____ AG veräussert habe. Die betrugsrechtlich relevante Vermögensdisposition müsse nicht im Sinne einer Geldzahlung erfolgt sein, sondern könne auch in Form der Erfüllung einer Verbindlichkeit stattfinden. Eine arglistige Täuschung liege zwei- felsohne ebenfalls vor, indem D._____ dem Rekurrenten vorgespiegelt habe, dass nach Übertragung sämtlicher Aktien der Kaufpreis von Fr. 24 Mio. bezahlt werde. Die unter diesem Kapitel von der Staatsanwaltschaft abschlägig beurteil- ten Delikte seien alles Handlungen, welche D._____ zum Nachteil des Rekurren- ten vorgenommen habe, indem er diese Beträge dem Kontokorrent des Rekurren- ten belastet und somit vom eigentlich noch geschuldeten Kaufpreis abgezweigt habe. Es handle sich nicht ausschliesslich um eine zivilrechtliche Streitigkeit (Urk. 2 S. 5 f.).</w:t>
      </w:r>
    </w:p>
    <w:p>
      <w:r>
        <w:t>- 19 -</w:t>
      </w:r>
    </w:p>
    <w:p>
      <w:r>
        <w:rPr>
          <w:b/>
        </w:rPr>
        <w:t>E. 2.5.4</w:t>
      </w:r>
    </w:p>
    <w:p>
      <w:r>
        <w:t>Zutreffend ist, dass der Rekurrent mit dem Verkauf der J._____ AG eine Vermögensdisposition vornahm. Soweit diesbezüglich Betrug beanzeigt wurde, war dieser – wie oben unter den Ausführungen zur Verjährung gezeigt wurde – bereits im Zeitpunkt der Anzeigeerstattung verjährt. Eine erneute Vermögensdis- position des Rekurrenten aufgrund einer arglistigen Täuschung ist nicht ersicht- lich, weshalb betreffend die Vorwürfe Nr. 2, 9 und 14 bis 18 kein hinreichender Tatverdacht für einen Betrug besteht. Wie oben ausgeführt war ein allfälliger Betrug über die Fr. 24 Mio. bereits mit Ab- schluss des Kaufvertrages über die J._____ AG am 1. Juli 1999 vollendet. Der Rekurrent liess in seinen Vorwürfen Nr. 2, Nr. 9 und Nr. 14 bis Nr. 18 diverse Be- lastungen auf dem Kontokorrentkonto bzw. Anrechnungen an den Kaufpreis gel- tend machen, womit D._____ diese Beträge vom eigentlich noch geschuldeten Kaufpreis abgezweigt habe. Gemäss den Ausführungen des Rekurrenten handelt es sich beim Kontokorrent- konto um ein Kontokorrent zwischen dem Rekurrenten als früheren Geschäftsin- haber der J._____ AG und der J._____ AG. Es handelt sich nicht um ein Konto bei einer Bank, sondern um ein gegenseitiges Schuldverhältnis, in dem die ge- genseitigen Forderungen jeweils miteinander verrechnet werden (Urk. 7/0063 S. 3). Wie die Staatsanwaltschaft zutreffend ausführte (Urk. 10 S. 3), sind keine Vermö- genswerte des Rekurrenten betroffen. Beim Kontokorrentkonto handelt es sich um ein Konto der B._____ AG und nicht um einen Vermögenswert des Rekurren- ten. Sollten auf diesem Konto Belastungen bzw. Anrechnungen auf den Kaufpreis vorgenommen worden sein, so könnte darin lediglich eine zivilrechtlich relevante Verrechnungserklärung gesehen werden, nicht jedoch eine strafbare Handlung. Bereits aus diesem Grund besteht betreffend die Vorwürfe Nr. 2, 9 und 14 bis 18 kein hinreichender Tatverdacht auf eine ungetreue Geschäftsbesorgung im Sinne von Art. 158 StGB oder Veruntreuung im Sinne von Art. 138 StGB. Überdies ist nicht ersichtlich, inwiefern die J._____ AG, deren Verwaltungsrat und Aktionäre oder D._____ Geschäftsführer bezüglich der Kaufpreisforderung des</w:t>
      </w:r>
    </w:p>
    <w:p>
      <w:r>
        <w:t>- 20 - Rekurrenten auf dem Kontokorrentkonto sein sollten. Es darf daher auch aus die- sem Grund davon ausgegangen werden, dass sich keine ungetreue Geschäfts- besorgung im Sinne von Art. 158 StGB nachweisen liesse. Zudem entstehen aus gegenseitigen Zuwendungen bei synallagmatischen Ver- trägen nur Ansprüche auf Gegenleistungen, nicht aber auf Werterhaltung. Die strafrechtlich relevante Handlung erschöpft sich bei dieser Konstellation in der Motivierung zu einer schädigenden Vermögensverfügung (BGE 133 IV 30 f. m.w.H.). Vorliegend erlangte der Rekurrent mit Abschluss des Kaufvertrages ei- nen Anspruch auf die Gegenleistung, den Kaufpreis. Dadurch entstand kein An- spruch auf Werterhaltung seiner Kaufpreisforderung, weshalb diese auch nicht im Sinne von Art. 138 StGB anvertraut war. Wie oben ausgeführt bot die B._____ AG bereits zu diesem Zeitpunkt dermassen wenig Gewähr für eine vertragsgemässe Rückzahlung des Geldes, dass schon damals die Forderung des Rekurrenten er- heblich gefährdet und in ihrem Wert wesentlich herabgesetzt war, sodass ein Vermögensschaden daher bereits mit der Vertragsunterzeichnung am 1. Juli 1999 eingetreten wäre. In dieser Motivierung zu einer schädigenden Vermögensdispo- sition erschöpfte sich die strafrechtlich relevante Handlung. Sollte D._____, wie der Rekurrent geltend machen liess, diverse Belastungen auf dem Kontokorrent- konto bzw. Anrechnungen an den Kaufpreis vorgenommen haben, so erfüllte er dadurch auch nicht den Tatbestand der Veruntreuung im Sinne von Art. 138 StGB.</w:t>
      </w:r>
    </w:p>
    <w:p>
      <w:r>
        <w:rPr>
          <w:b/>
        </w:rPr>
        <w:t>E. 2.5.5</w:t>
      </w:r>
    </w:p>
    <w:p>
      <w:r>
        <w:t>In seinem Vorwurf Nr. 12 liess der Rekurrent D._____, dem Verwaltungs- rat der J._____ AG, der B._____ AG (als Aktionärin der J._____ AG) und den Ak- tionären der B._____ AG Betrug, Veruntreuung und ungetreue Geschäftsbesor- gung vorwerfen, indem sie sich für das Geschäftsjahr 1999 eine Dividende von Fr. 1'500'000.– ausgeschüttet hätten, ohne davon die Hälfte an den Rekurrenten auszuschütten, welcher seine Beteiligung an der J._____ AG am 1. Juli 1999 mit Nutzen und Gefahr per 1. Juli 1999 an die B._____ AG verkauft habe. (Urk. 7/0014 Ziff. 13; Urk. 7/0060). Ein Betrug liegt diesbezüglich nicht vor, weil es an einer Vermögensdisposition des Rekurrenten aufgrund einer arglistigen Täu- schung mangelt. Überdies ist nicht ersichtlich, inwiefern der Rekurrent D._____,</w:t>
      </w:r>
    </w:p>
    <w:p>
      <w:r>
        <w:t>- 21 - dem Verwaltungsrat der J._____ AG, der B._____ AG (als Aktionärin der J._____ AG) und den Aktionären der B._____ AG im Sinne von Art. 138 StGB einen Ver- mögenswert anvertraut hätte: Wenn der Rekurrent geltend macht, er hätte die Hälfte der Dividende erhalten sollen, so ist dies eine zivilrechtliche Fragestellung: Eine Werterhaltungspflicht für einen Dividendenbetrag zugunsten des Rekurren- ten lässt sich daraus nicht ableiten. Ebenso verhält es sich mit der ungetreuen Geschäftsbesorgung im Sinne von Art. 158 StGB: Es ist nicht ersichtlich, inwie- fern die genannten Personen Geschäftsführer des Rekurrenten bezüglich des Hälftigen Dividendenbetrages sein sollten.</w:t>
      </w:r>
    </w:p>
    <w:p>
      <w:r>
        <w:rPr>
          <w:b/>
        </w:rPr>
        <w:t>E. 2.5.6</w:t>
      </w:r>
    </w:p>
    <w:p>
      <w:r>
        <w:t>In seinem Vorwurf Nr. 19 liess der Rekurrent Zins- und Zinseszinsverlust auf dem vorenthaltenen Kaufpreis geltend machen (Urk. 7/0060). Inwiefern Zins- und Zinseszinsverluste auf der angeblich noch ausstehenden Kaufpreiszahlung einen Straftatbestand erfüllen sollten, ist nicht ersichtlich. Überdies liess der Re- kurrent in seiner Rekursschrift und der weiteren Stellungnahme (Urk. 2; Urk. 16) nicht substanziiert begründen, inwiefern die angefochtene Verfügung diesbezüg- lich nicht korrekt sei (§ 405 StPO/ZH).</w:t>
      </w:r>
    </w:p>
    <w:p>
      <w:r>
        <w:rPr>
          <w:b/>
        </w:rPr>
        <w:t>E. 2.6</w:t>
      </w:r>
    </w:p>
    <w:p>
      <w:r>
        <w:t>Fazit Zusammenfassend ist festzuhalten, dass der Rekurrent bezüglich die Vorwürfe Nr. 5 bis Nr. 8, Nr. 10 und Nr. 11 nicht zum Rekurs legitimiert ist, weshalb diesbe- züglich auf den Rekurs nicht einzutreten ist. Die Vorwürfe Nr. 1, Nr. 3, Nr. 4 und Nr. 13 sind verjährt und bezüglich die Vorwürfe Nr. 2, Nr. 9, Nr. 12 und Nr. 14 bis Nr. 19 ist kein strafrechtlich relevantes Handeln ersichtlich. Insgesamt ist die Staatsanwaltschaft auf die Strafanzeige zu Recht nicht eingetre- ten, kann nach der vorliegenden Sachlage doch nicht von einem Anfangsver- dacht, d.h. einem hinreichenden und auf konkreten Tatsachen beruhenden Ver- dacht, dass eine strafbare Handlung verübt worden ist, welche noch nicht verjährt ist, ausgegangen werden. Nach dem Gesagten erweist sich der Rekurs als unbe- gründet und ist – soweit auf diesen überhaupt eingetreten werden kann – abzu- weisen.</w:t>
      </w:r>
    </w:p>
    <w:p>
      <w:r>
        <w:t>- 22 - IV. Kosten- und Entschädigungsfolgen Die Kosten des Rekursverfahrens sind ausgangsgemäss dem Rekurrenten auf- zuerlegen (§ 396a StPO/ZH). Es wird beschlossen:</w:t>
      </w:r>
    </w:p>
    <w:p>
      <w:r>
        <w:rPr>
          <w:b/>
        </w:rPr>
        <w:t>E. 3</w:t>
      </w:r>
    </w:p>
    <w:p>
      <w:r>
        <w:t>Die beantragten Sicherungsmassnahmen seien durchzuführen.</w:t>
      </w:r>
    </w:p>
    <w:p>
      <w:r>
        <w:rPr>
          <w:b/>
        </w:rPr>
        <w:t>E. 4</w:t>
      </w:r>
    </w:p>
    <w:p>
      <w:r>
        <w:t>Juni 2010 abgelaufen.</w:t>
      </w:r>
    </w:p>
    <w:p>
      <w:r>
        <w:t>- 16 - Der Rekurrent liess in seinem Vorwurf Nr. 4 geltend machen, mit Vertrag vom</w:t>
      </w:r>
    </w:p>
    <w:p>
      <w:r>
        <w:rPr>
          <w:b/>
        </w:rPr>
        <w:t>E. 8</w:t>
      </w:r>
    </w:p>
    <w:p>
      <w:r>
        <w:t>Mai 2000 sei der Kaufpreis simulationsweise um Fr. 8 Mio. reduziert worden, um auf diese Weise zu erreichen, dass der Rekurrent anlässlich seiner Kampf- scheidung unter dem Titel Güterrecht weniger an die Ehefrau habe abführen müssen. Gleichzeitig habe D._____ versprochen, dass der Kaufpreis nach durch- geführter Scheidung wieder auf den ursprünglichen Betrag von Fr. 24 Mio. erhöht werde (Urk. 16 S. 2). Auch diesbezüglich wäre ein Vermögensschaden bereits mit Unterzeichnung des Vertrages vom 8. Mai 2000 entstanden und hätte die Verjäh- rungsfrist bereits zu diesem Zeitpunkt zu laufen begonnen. Auch diesbezüglich war die Verjährung bereits bei Einreichung der Strafanzeige vom 4. Juni 2010 eingetreten. Überdies erscheint unter dem Aspekt der Opfermitverantwortung fraglich, ob ein Betrug vorläge und der Rekurrent zu schützen wäre, hat er doch bewusst einen Vertrag unterzeichnet, den er nicht nach dessen Wortlaut gelten lassen wollte. Betreffend den Vorwurf Nr. 13 ist Folgendes festzuhalten: Im Nachtrag zur Straf- anzeige vom 21. Juni 2010 (Urk. 7/0036 S. 7) liess der Rekurrent geltend ma- chen, G._____ habe am 11. August 1999 von D._____ aus dem Kaufpreis der J._____ AG einen Betrag von Fr. 100'000.– erhalten. In einem weiteren Nachtrag vom 20. Juli 2010 (Urk. 7/0052 S. 6) liess der Rekurrent geltend machen, am</w:t>
      </w:r>
    </w:p>
    <w:p>
      <w:r>
        <w:rPr>
          <w:b/>
        </w:rPr>
        <w:t>E. 11</w:t>
      </w:r>
    </w:p>
    <w:p>
      <w:r>
        <w:t>August 1999" ausführen, alle drei Zahlungen seien zusammen in Auftrag ge- geben worden (Urk. 7/0063 S. 2 f.). Was den Barbezug von Fr. 500'000.– durch D._____ betrifft, liess der Rekurrent ausführen, dieser sei ca. im Dezember 1999 erfolgt (Urk. 7/0063 S. 2 f). Damit war die zehnjährige Verjährungsfrist bei Einrei- chung der Strafanzeige vom 4. Juni 2010 bereits abgelaufen.</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