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UK010023 vom 1. Juni 2001</w:t>
      </w:r>
    </w:p>
    <w:p>
      <w:r>
        <w:t>ZH Obergericht, 2001-06-01, DE</w:t>
      </w:r>
    </w:p>
    <w:p>
      <w:r>
        <w:rPr>
          <w:b/>
        </w:rPr>
        <w:t xml:space="preserve">Quelle: </w:t>
      </w:r>
      <w:r>
        <w:t>https://mcp.opencaselaw.ch/entscheid/zh_obergericht_UK010023</w:t>
      </w:r>
    </w:p>
    <w:p>
      <w:r>
        <w:t>FR: ZH_OBERGERICHT UK010023 du 1 juin 2001</w:t>
      </w:r>
    </w:p>
    <w:p>
      <w:r>
        <w:t>IT: ZH_OBERGERICHT UK010023 del 1 giugno 2001</w:t>
      </w:r>
    </w:p>
    <w:p>
      <w:pPr>
        <w:pStyle w:val="Heading2"/>
      </w:pPr>
      <w:r>
        <w:t>Erwägungen</w:t>
      </w:r>
    </w:p>
    <w:p>
      <w:r>
        <w:rPr>
          <w:b/>
        </w:rPr>
        <w:t>E. 1</w:t>
      </w:r>
    </w:p>
    <w:p>
      <w:r>
        <w:t>Alle Rechtsmittel nach zürcherischer Strafprozessrecht, vorbehältlich § 396 StPO, setzen eine Beschwer, d.h. eine unmittelbare Benachteiligung des Rechtsmittelklägers voraus, denn Ziel des Rechtsmittels ist es, anstelle des für den Betroffenen ungünstigen Entscheides einen für ihn günstigeren Entscheid zu erlangen. Der Angeschuldigte kann einen Entscheid somit nur bezüglich Punkten anfechten, die für ihn ungünstig lauten, die ihn also beschweren (Schmid, Strafprozessrecht, 3. Aufl., 1997, N 975; ZR 60 [1961] Nr. 45). Als Prozessbeteiligte ist die Angeschuldigte nach § 395 Abs. 1 Ziff.</w:t>
      </w:r>
    </w:p>
    <w:p>
      <w:r>
        <w:rPr>
          <w:b/>
        </w:rPr>
        <w:t>E. 3</w:t>
      </w:r>
    </w:p>
    <w:p>
      <w:r>
        <w:t>Zusammengefasst ist auf den Rekurs daher nicht einzutreten. III. Ausgangsgemäss sind die Kosten des Rekursverfahrens der Rekurrentin aufzuerlegen.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