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UH220068 vom 25. Juli 2022</w:t>
      </w:r>
    </w:p>
    <w:p>
      <w:r>
        <w:t>ZH Obergericht, 2022-07-25, DE</w:t>
      </w:r>
    </w:p>
    <w:p>
      <w:r>
        <w:rPr>
          <w:b/>
        </w:rPr>
        <w:t xml:space="preserve">Quelle: </w:t>
      </w:r>
      <w:r>
        <w:t>https://mcp.opencaselaw.ch/entscheid/zh_obergericht_UH220068</w:t>
      </w:r>
    </w:p>
    <w:p>
      <w:r>
        <w:t>FR: ZH_OBERGERICHT UH220068 du 25 juillet 2022</w:t>
      </w:r>
    </w:p>
    <w:p>
      <w:r>
        <w:t>IT: ZH_OBERGERICHT UH220068 del 25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Limmattal / Albis (nachfolgend: Staatsanwaltschaft) bestrafte A._____ (nachfolgend: Beschwerdeführer) mit Strafbefehl vom 23. Fe- bruar 2022 wegen Hausfriedensbruchs mit einer bedingten Geldstrafe von 40 Ta- gessätzen zu je Fr. 30.00, als teilweise Zusatzstrafe zum Strafbefehl der Staats- anwaltschaft Zürich-Sihl vom 15. Februar 2022, sowie einer Busse von Fr. 300.–. Der Beschwerdeführer soll sich am 12. Februar 2022 in Zürich in einem Schreber- gartenareal unerlaubterweise Zugang zu einem Gartenhaus verschafft haben und darin ohne Berechtigung bis am 21. Februar 2022 verweilt sein (Urk. 9/11). Ge- gen den Strafbefehl vom 23. Februar 2022 liess der Beschwerdeführer am</w:t>
      </w:r>
    </w:p>
    <w:p>
      <w:r>
        <w:rPr>
          <w:b/>
        </w:rPr>
        <w:t>E. 2</w:t>
      </w:r>
    </w:p>
    <w:p>
      <w:r>
        <w:t>Unter ausgangsgemässen Kosten- und Entschädigungsfolgen (zzgl. MwSt.)" In prozessualer Hinsicht wurden zudem folgende Anträge gestellt (Urk. 2 S. 2): "3. Es sei der vorliegenden Beschwerde in Anwendung von Art. 387 StPO die aufschiebende Wirkung zu erteilen.</w:t>
      </w:r>
    </w:p>
    <w:p>
      <w:r>
        <w:rPr>
          <w:b/>
        </w:rPr>
        <w:t>E. 4</w:t>
      </w:r>
    </w:p>
    <w:p>
      <w:r>
        <w:t>Es seien die Akten des Untersuchungsverfahrens (Ref.-…) voll- umfänglich beizuziehen.</w:t>
      </w:r>
    </w:p>
    <w:p>
      <w:r>
        <w:rPr>
          <w:b/>
        </w:rPr>
        <w:t>E. 5</w:t>
      </w:r>
    </w:p>
    <w:p>
      <w:r>
        <w:t>Die Beschwerde ist somit gutzuheissen und die angefochtene Verfügung aufzuheben. Der beim Beschwerdeführer abgenommene Wangenschleimhautab- strich und ein allenfalls erstelltes DNA-Profil sind zu vernichten. Ein entsprechen- der Eintrag im Informationssystem wäre – sollte dieser bereits erfolgt sein – un- verzüglich zu löschen. IV.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