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UH170084 vom 3. Oktober 2017</w:t>
      </w:r>
    </w:p>
    <w:p>
      <w:r>
        <w:t>ZH Obergericht, 2017-10-03, DE</w:t>
      </w:r>
    </w:p>
    <w:p>
      <w:r>
        <w:rPr>
          <w:b/>
        </w:rPr>
        <w:t xml:space="preserve">Quelle: </w:t>
      </w:r>
      <w:r>
        <w:t>https://mcp.opencaselaw.ch/entscheid/zh_obergericht_UH170084</w:t>
      </w:r>
    </w:p>
    <w:p>
      <w:r>
        <w:t>FR: ZH_OBERGERICHT UH170084 du 3 octobre 2017</w:t>
      </w:r>
    </w:p>
    <w:p>
      <w:r>
        <w:t>IT: ZH_OBERGERICHT UH170084 del 3 ottobre 2017</w:t>
      </w:r>
    </w:p>
    <w:p>
      <w:pPr>
        <w:pStyle w:val="Heading2"/>
      </w:pPr>
      <w:r>
        <w:t>Erwägungen</w:t>
      </w:r>
    </w:p>
    <w:p>
      <w:r>
        <w:rPr>
          <w:b/>
        </w:rPr>
        <w:t>E. 2</w:t>
      </w:r>
    </w:p>
    <w:p>
      <w:r>
        <w:t>Grundsätzlich trägt der Staat die Kosten einer Strafuntersuchung (Art. 423 StPO). Wird das Verfahren eingestellt oder die beschuldigte Person freigespro- chen, so können ihr gemäss Art. 426 Abs. 2 StPO die Verfahrenskosten ganz oder teilweise auferlegt werden, wenn sie rechtswidrig und schuldhaft die Einlei- tung des Verfahrens bewirkt oder dessen Durchführung erschwert hat. Dabei handelt es sich um eine Ausnahmeregelung, die mit Zurückhaltung anzuwenden ist. Die Bestimmung kodifiziert die Praxis des Bundesgerichts und der EMRK- Organe, wonach eine Kostenauflage möglich ist, wenn der Beschuldigte in zivil- rechtlich vorwerfbarer Weise gegen eine geschriebene oder ungeschriebene Ver- haltensnorm klar verstossen und dadurch die Einleitung des Strafverfahrens ver- anlasst hat. Unter denselben Voraussetzungen können ihr auch die Entschädi- gung für die Ausübung ihrer Verfahrensrechte und die erlittenen wirtschaftlichen Einbussen sowie die Genugtuung ganz oder teilweise verweigert werden. In tat-</w:t>
      </w:r>
    </w:p>
    <w:p>
      <w:r>
        <w:t>- 6 - sächlicher Hinsicht darf sich die Kostenauflage nur auf unbestrittene oder bereits klar nachgewiesene Umstände stützen und zwischen dem zivilrechtlich vorwerf- baren Verhalten und den durch die Untersuchung entstandenen Kosten muss ein Kausalzusammenhang bestehen (vgl. zum Ganzen Urteile BGer 6B_1126/2014 v. 21.4.2015 Erw. 1.3; BGer 6B_1130/2014 v. 8.6.2015 Erw. 3.1; BGer 6B_1247/ 2015 v. 15.4.2016 Erw. 1.3; BGer 6B_129/2016 v. 2.5.2016 Erw. 3.2.1; BSK StPO-Domeisen, Basel 2014, Art. 426 N 22 f. und N 29). 3.1. Fest steht, dass die 9 (bzw. 10 vgl. Urk. 8/6/1/3 S. 3) Dossiers, die der Staatsanwaltschaft als Grundlage für die Kostenauflage dienten (Urk. 5 S. 37 f. in Verbindung mit S. 10), mehrheitlich Einsprachen aus den Jahren 2010 bis 2012 betreffen, unbearbeitet blieben und den Behörden anlässlich der Durchsuchung des Büros des Beschwerdeführers vom 17. September 2015 vom Beschwerde- führer selbst ausgehändigt wurden (Urk. 5 S. 10; Urk. 8/6/1/3 S. 3; Urk. 8/6/1/6 S. 3). Entgegen der Auffassung der Staatsanwaltschaft ist hingegen nicht erstellt, dass diese Dossiers beim Beschwerdeführer 'auf dem Tisch liegengeblieben' (vgl. dazu Urk. 5 S. 10 und S. 37) bzw. vom Beschwerdeführer 'vergessen' worden sind (Urk. 8/6/1/3 S. 3). Vielmehr erklärte der Beschwerdeführer im Laufe der Un- tersuchung mehrmals, er habe vor einigen Monaten in den Bauakten ca. 25 uner- ledigte Dossiers gefunden und diese anlässlich der Hausdurchsuchung der Poli- zei übergeben (Urk. 8/22/3 S. 2 Antwort 7; vgl. auch Urk. 8/12/1 S. 5 Antwort 21 f.). Diese Darstellung lässt sich - auch nach Auffassung der Staatsanwaltschaft (Urk. 5 S. 8) - nicht widerlegen. Ebensowenig lässt sich widerlegen, dass sich un- ter diesen 25 Dossiers auch die 9 bzw. 10 Fälle befanden, die zur Kostenauflage führten. Entgegen der sinngemässen Auffassung der Staatsanwaltschaft (Urk. 9 S. 4 f.) hat der Beschwerdeführer nämlich nie zu Protokoll gegeben, dass es sich bei den Dossiers in den Bauakten nicht um diese genannten 9 bzw. 10 Fälle ge- handelt hat. Er erklärte - zu andern Dossiers befragt - einzig, dass 13 andere Fäl- le, nämlich diejenigen mit dem Vermerk '…', irrtümlich in die Bauakten gelangt seien (Urk. 8/12/2 S. 6). Daraus kann aber nicht der Schluss gezogen werden, dass sich nicht noch weitere Dossiers, insbesondere die 9 bzw. 10 fraglichen Dossiers, in den Bauakten befanden. Dies umso weniger, als der Beschwerdefüh-</w:t>
      </w:r>
    </w:p>
    <w:p>
      <w:r>
        <w:t>- 7 - rer erklärte, er habe in den Bauakten insgesamt ca. 25 unerledigte Fälle gefunden (Urk. 8/22/3 S. 2 Antwort 7; Urk. 8/12/1 S. 5 Antwort 21). Damit ergibt sich, dass die Staatsanwaltschaft die Kostenauflage in diesem Punkt weder auf unbestrittene noch auf klar nachgewiesene Umstände stützt. Dies ist nach dem oben unter II. 2. Gesagten nicht zulässig. Andere Gründe, weshalb dem Beschwerdeführer in diesem Punkt Kosten aufzuerlegen sind, macht die Staatsanwaltschaft nicht geltend und aufgrund der Akten ergeben sich keine Hinweise dafür, dass der Beschwerdeführer im Zusammenhang mit den genannten Dossiers gegen eine Verhaltensnorm klar verstossen hat. Die Beschwerde ist daher in diesem Punkt gutzuheissen und die entspre- chenden Kosten sind auf die Staatskasse zu nehmen. 3.2. Unbestritten ist, dass der Beschwerdeführer bei der Vergabe von Reka- Checks ab dem Jahr 2010 - zumindest soweit diese den Betrag von Fr. 500.-- überstiegen - gegen § 44 Abs. 3 Satz 1 der Vollzugsverordnung zum Personalge- setz (VVO) verstossen hat (Urk. 13 S. 3 f.; Urk. 9 S. 5; vgl. dazu auch Urk. 3/3 S. 14 f.). Fest steht indessen auch, dass die Aufsichtsstellen (Zentrale Rech- nungsstelle der Statthalterämter; Finanzkontrolle des Kantons Zürich) das Vorge- hen des Beschwerdeführers nie bemängelt haben (vgl. dazu Urk. 3/3 S. 15; Urk. 5 S. 26 f.) und dieses Vorgehen vor der per 1. Januar 2010 erfolgten Rechtsände- rung rechtmässig war. Angesichts dieser Umstände lag bereits im Vorermittlungs- verfahren wegen ungetreuer Geschäftsbesorgung die Vermutung nahe, dass es dem Beschwerdeführer am Bewusstsein der Pflichtwidrigkeit fehlte und seinem Verhalten vielmehr Unkenntnis der aktuellen Rechtslage und damit Nachlässigkeit zugrunde lag (vgl. dazu auch Urk. 5 S. 22 ff., insbesondere S. 26 f.). Auch wenn sich die Staatsanwaltschaft zur Ausdehnung der Strafuntersuchung auf den Tat- bestand der ungetreuen Geschäftsbesorgung grundsätzlich veranlasst sehen durfte (vgl. dazu auch den Ermächtigungsentscheid der Kammer vom 20. April 2016 [Urk. 8/5/1/7 S. 6]), liegt somit gesamthaft betrachtet kein eine Kos- tenauflage rechtfertigender adäquater Kausalzusammenhang zwischen dem widerrechtlichen Verhalten des Beschwerdeführers und der Einleitung der Unter- suchung vor. Denn angesichts des Umstandes, dass es sich - wie bereits oben</w:t>
      </w:r>
    </w:p>
    <w:p>
      <w:r>
        <w:t>- 8 - unter II. 2. erwähnt - bei Art. 426 Abs. 2 StPO um eine "Kann-Vorschrift" mit Aus- nahmecharakter handelt, darf nicht jede Pflichtverletzung zu einer Kostenauflage führen. Auch bei der Frage des Verschuldens ist der Ausnahmecharakter von Art. 426 Abs. 2 StPO zu beachten. Zwar weicht das Verhalten des Beschwerde- führers vom als angebracht geltenden Durchschnittsverhalten eines Statthalters ab und ist somit als in zivilrechtlicher Hinsicht schuldhaft zu bezeichnen; aufgrund der genannten Umstände kann dieses Verhalten aber nicht als derart tadelnswert angesehen werden, dass es eine Kostenauflage zu rechtfertigen vermag (vgl. da- zu BGE 116 Ia 169), zumal auch die Staatsanwaltschaft festhielt, dass der Be- schwerdeführer von der Rechtmässigkeit seines Handelns ausgehen durfte, weil der Revision die Umstände um die Rücklagen bekannt gewesen seien und nicht bemängelt wurden (Urk. 3/1 S. 27). Die Beschwerde ist daher auch in diesem Punkt gutzuheissen und die ent- sprechenden Kosten sind auf die Staatskasse zu nehmen. 3.3. Auch im Zusammenhang mit der Untersuchung wegen Betrugs sind die Voraussetzungen für eine Kostenauflage an den Beschwerdeführer nicht erfüllt. Entgegen der Auffassung der Staatsanwaltschaft (Urk. 5 S. 38 f.) kann dem Be- schwerdeführer nicht vorgeworfen werden, er habe gegen das Personalgesetz und auch gegen seine arbeitsrechtliche Treuepflicht verstossen, indem er in der Arbeits- und Leistungserfassung (LERF) in leichtfertiger Weise Termine nach Gutdünken als Arbeitszeit aufgeschrieben und mehrmals den Absenzencode 'Kompensation Gleitzeit' nicht verwendet habe. Diesbezüglich ist zu berücksichti- gen, dass der Beschwerdeführer - nachdem er von Januar bis November 2012 das LERF überhaupt nicht geführt hatte - am 1. November 2012 vom damaligen Vorsteher der Justizdirektion verwarnt und verpflichtet wurde, seine LERF- Auszüge dem Direktionsvorsteher monatlich zuzustellen (Urk. 8/70/22). Dieser vi- sierte die Auszüge (Urk. 8/40/13). Die Massnahme wurde Anfang 2014 aufgeho- ben. Soweit ersichtlich kam es während dieser Zeit der Überprüfung zu keinen Beanstandungen seitens des Direktionsvorstehers, weshalb davon auszugehen ist, dass die Auszüge den geltenden Bestimmungen entsprochen oder diese zu- mindest nicht klar verletzt haben. Nachdem von der Staatsanwaltschaft nicht gel-</w:t>
      </w:r>
    </w:p>
    <w:p>
      <w:r>
        <w:t>- 9 - tend gemacht wird und aus den Akten auch nicht hervorgeht, dass der Beschwer- deführer das LERF nach Aufhebung der Massnahme nach anderen Kriterien ge- führt hat als während der Massnahme (vgl. dazu Urk. 8/40/9), kann dem Be- schwerdeführer somit im Zusammenhang mit seiner Arbeitszeiterfassung kein kla- rer Verstoss gegen das Personalgesetz bzw. gegen seine arbeitsrechtliche Treuepflicht oder sonst ein klarer Verstoss gegen eine Verhaltensnorm vorgewor- fen werden. Der Umstand, dass der Beschwerdeführer - wie die Staatsanwalt- schaft geltend macht (Urk. 5 S. 38 f.; Urk. 9 S. 5) - diverse Termine und Anlässe nach Gutdünken als Arbeitszeit erfasst hat, vermag daran nichts zu ändern. Da es offenbar an Weisungen fehlt, inwieweit Statthalter Termine, die sowohl dienstli- cher als auch gesellschaftlicher Natur sind (beispielsweise Repräsentationsanläs- se, Mittagessen nach Visitationen etc.), als Arbeitszeit erfassen können (vgl. dazu Urk. 8/69 S. 41), besteht diesbezüglich ein erhebliches Ermessen des Amtsinha- bers. Dass der Beschwerdeführer dieses Ermessen überschritten und willkürlich Arbeitszeit aufgeschrieben hat, wird weder behauptet noch substantiiert darge- legt. Die Beschwerde ist daher auch in diesem Punkt gutzuheissen und die ent- sprechenden Kosten sind auf die Staatskasse zu nehmen. Ausführungen zum Umfang der von der Kammer mit Beschluss vom 20. April 2016 (Urk. 8/5/1/7) er- teilten Ermächtigung (vgl. dazu die Bemerkungen des Beschwerdeführers in Urk. 2 S. 7), erübrigen sich damit. 3.4. Zusammengefasst ist von einer Kostenauflage an den Beschwerdefüh- rer abzusehen. Auf Erwägungen zur Verhältnismässigkeit des von der Staatsan- waltschaft betriebenen Untersuchungsaufwandes und zum Umfang der Begrün- dungspflicht (vgl. dazu die Ausführungen des Beschwerdeführers in Urk. 2 S. 6 und S. 12), kann damit verzichtet werden.</w:t>
      </w:r>
    </w:p>
    <w:p>
      <w:r>
        <w:rPr>
          <w:b/>
        </w:rPr>
        <w:t>E. 4</w:t>
      </w:r>
    </w:p>
    <w:p>
      <w:r>
        <w:t>Die Entschädigungsfrage ist nach der Kostenfrage zu beantworten. Inso- weit präjudiziert der Kostenentscheid die Entschädigungsfrage (BGE 137 IV 352 Erw. 2.4.2).</w:t>
      </w:r>
    </w:p>
    <w:p>
      <w:r>
        <w:t>- 10 - Die Staatsanwaltschaft hat den von der Verteidigung geltend gemachten Aufwand (Urk. 8/7/1/34) grundsätzlich akzeptiert (Urk. 3/1 S. 39), jedoch in An- wendung des obgenannten Grundsatzes dem Beschwerdeführer eine um die Hälfte reduzierte Entschädigung im Betrag von Fr. 23'925.-- zugesprochen. Die beantragte Genugtuung von Fr. 2'500.-- (vgl. Urk. 8/7/1/33 S. 2) wurde - verse- hentlich - auf Fr. 1'000.-- (statt auf Fr. 1'250.--) reduziert (Urk. 5 S. 39 f.). Aufgrund der nun vollständigen Übernahme der Untersuchungskosten auf die Staatskasse sind diese beiden Beträge - den Anträgen des Beschwerdeführers entsprechend (Urk. 2 S. 2 und S. 20) - zu verdoppeln. III. Bei diesem Verfahrensausgang sind die Kosten für das Beschwerdeverfah- ren auf die Gerichtskasse zu nehmen (Art. 428 Abs. 1 StPO). Sodann hat der obsiegende und anwaltlich vertretene Beschwerdeführer Anspruch auf Entschädigung für das Beschwerdeverfahren (Art. 436 Abs. 1 StPO i.V.m. Art. 429 Abs. 1 lit. a StPO). Die Höhe der Entschädigung richtet sich nach dem Streitwert. Dieser beträgt insgesamt rund Fr. 25'000.--. In Anwendung von § 19 Abs. 2 i.V.m. § 9 und § 4 Abs. 1 und 2 AnwGebV und unter Berücksichtigung der Schwierigkeit und der Bedeutung des Falls sowie des notwendigen Zeitauf- wands des Verteidigers (§ 2 AnwGebV) ist dem Beschwerdeführer für das Be- schwerdeverfahren eine Entschädigung von Fr. 3'000.– (zuzüglich 8% MwSt)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