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UH160334 vom 16. März 2017</w:t>
      </w:r>
    </w:p>
    <w:p>
      <w:r>
        <w:t>ZH Obergericht, 2017-03-16, DE</w:t>
      </w:r>
    </w:p>
    <w:p>
      <w:r>
        <w:rPr>
          <w:b/>
        </w:rPr>
        <w:t xml:space="preserve">Quelle: </w:t>
      </w:r>
      <w:r>
        <w:t>https://mcp.opencaselaw.ch/entscheid/zh_obergericht_UH160334</w:t>
      </w:r>
    </w:p>
    <w:p>
      <w:r>
        <w:t>FR: ZH_OBERGERICHT UH160334 du 16 mars 2017</w:t>
      </w:r>
    </w:p>
    <w:p>
      <w:r>
        <w:t>IT: ZH_OBERGERICHT UH160334 del 16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Vorab ist von Amtes wegen die Zuständigkeit der Beschwerdeinstanz zu prüfen bzw. die Frage, ob der angefochtene Entscheid betreffend Ablehnung des Zeug- nisverweigerungsrechts im Rahmen einer Rechtshilfeangelegenheit der Be- schwerde nach Art. 393 ff. StPO unterliegt (Art. 39 Abs. 1 StPO). 2.1 Für den Vollzug von Rechtshilfemassnahmen in der Schweiz ist grundsätzlich die StPO anwendbar. Dies ergibt sich aus Art. 80a Abs. 2 IRSG, wonach die er- suchte Behörde die Rechtshilfehandlungen nach dem eigenen Verfahrensrecht ausführt (vgl. ebenso Grundsatz in Art. 12 Abs. 1 Satz 2 IRSG; KUSTER, BSK In- ternationales Strafrecht, Basel 2015, N 4 zu Art. 80a IRSG). Für den prozessua- len Rechtsschutz gegen Rechtshilfemassnahmen ist indessen nicht die StPO massgeblich, sondern das IRSG als "lex specialis" (Art. 1 Abs. 1 IRSG, Art. 54 StPO). Insbesondere richtet die Zulässigkeit eines Rechtsmittels gegen eine im Rahmen eines Rechtshilfeverfahrens erlassene Verfügung nicht nach der StPO (DANGUBIC/KESHELAVA, BSK, a.a.O., N 2 zu Art. 12 IRSG; BuGer 1B_563/2011, Urteil vom 16. Januar 2012, E. 2.1). Das IRSG regelt als "lex specialis" in Art. 80e ff. die Anfechtbarkeit von Verfügun- gen der ausführenden Behörde. Nach Art. 80e Abs. 1 IRSG unterliegt die Verfü- gung der ausführenden kantonalen Behörde (oder der Bundesbehörde), mit der</w:t>
      </w:r>
    </w:p>
    <w:p>
      <w:r>
        <w:t>- 5 - das Rechtshilfeverfahren abgeschlossen wird, zusammen mit den vorangehenden Zwischenverfügungen der Beschwerde an die Beschwerdekammer des Bun- desstrafgerichts. Der Schlussverfügung vorangehende Zwischenverfügungen können nach Abs. 2 selbstständig angefochten werden, sofern sie einen unmittel- baren und nicht wieder gutzumachenden Nachteil bewirken, (lit. a) durch die Be- schlagnahme von Vermögenswerten und Wertgegenständen oder (lit. b) durch die Anwesenheit von Personen, die am ausländischen Prozess beteiligt sind. 2.2 Die Beschwerdegegnerin hat vorliegend im Rahmen des angefochtenen Ent- scheids in einer Rechtshilfeangelegenheit über die Zulassung eines Zeugnisver- weigerungsrechts befunden. Mithin geht es um einen Zwischenentscheid (EY- MANN, BSK, a.a.O., N 3 zu Art. 80e IRSG), der zusammen mit der (vorliegend noch ausstehenden) Schlussverfügung nach Art. 80e Abs. 1 IRSG oder allenfalls selbstständig nach Art. 80e Abs. 2 IRSG bei der Beschwerdekammer des Bun- desstrafgerichts angefochten werden kann. 3.1 Damit ist auf die Beschwerde nicht einzutreten und erweist sich die vom Aus- geführten abweichende Rechtsmittelbelehrung in der angefochtenen Verfügung als unzutreffend. 3.2 Weiter hat zuständigkeitshalber eine Weiterleitung der Beschwerdeschrift zu- sammen mit den Akten an die Beschwerdekammer des Bundesstrafgerichtes zu erfolgen (Art. 39 Abs. 1 StPO). Insbesondere wird es Sache des Bundesstrafge- richtes sein zu prüfen, inwieweit es auf die Rechtsmitteleingabe des Beschwerde- führers gestützt auf Art. 80e ff. IRSG (namentlich Art. 80e Abs. 2 lit. a-b IRSG) einzutreten hat. III. Der Beschwerdeführer hätte als unterliegende Partei die Kosten des Beschwer- deverfahrens zu tragen (Art. 428 Abs. 1 StPO). Angesichts der unzutreffenden Rechtsmittelbelehrung rechtfertigt es sich jedoch ausnahmsweise, von einer Kos-</w:t>
      </w:r>
    </w:p>
    <w:p>
      <w:r>
        <w:t>- 6 - tenauflage abzusehen. Indessen hat er keinen Anspruch auf Prozessentschädi- gung.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