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UH160245 vom 13. Dezember 2016</w:t>
      </w:r>
    </w:p>
    <w:p>
      <w:r>
        <w:t>ZH Obergericht, 2016-12-13, DE</w:t>
      </w:r>
    </w:p>
    <w:p>
      <w:r>
        <w:rPr>
          <w:b/>
        </w:rPr>
        <w:t xml:space="preserve">Quelle: </w:t>
      </w:r>
      <w:r>
        <w:t>https://mcp.opencaselaw.ch/entscheid/zh_obergericht_UH160245</w:t>
      </w:r>
    </w:p>
    <w:p>
      <w:r>
        <w:t>FR: ZH_OBERGERICHT UH160245 du 13 décembre 2016</w:t>
      </w:r>
    </w:p>
    <w:p>
      <w:r>
        <w:t>IT: ZH_OBERGERICHT UH160245 del 13 dicembre 2016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Eventualiter sei in Abänderung von Ziffer 4 des Dispositivs der Ein- stellungsverfügung der Staatsanwaltschaft Winterthur/Unterland vom</w:t>
      </w:r>
    </w:p>
    <w:p>
      <w:r>
        <w:t>- 3 - 26. September 2016 (C-2/2015/10036304) dem Beschwerdeführer eine Entschädigung von Fr. 2'922.00 zuzusprechen.</w:t>
      </w:r>
    </w:p>
    <w:p>
      <w:r>
        <w:rPr>
          <w:b/>
        </w:rPr>
        <w:t>E. 3</w:t>
      </w:r>
    </w:p>
    <w:p>
      <w:r>
        <w:t>Mit Eingaben vom 19. Oktober 2016 und 21. November 2016 reichte der Beschwerdeführer weitere Unterlagen betreffend seine finanzielle Situation zu den Akten (Urk. 6-7 sowie Urk. 12-13). Am 21. Oktober 2016 wurden die Untersu- chungsakten (Urk. 10) beigezogen; diese gingen am 27. Oktober 2016 ein (Urk. 9). Da sich die Beschwerde sogleich als unbegründet erweist, wie nachfolgend darzulegen sein wird, konnte ein Schriftenwechsel unterbleiben (Art. 390 Abs. 2 StPO). Das Verfahren erweist sich als spruchreif.</w:t>
      </w:r>
    </w:p>
    <w:p>
      <w:r>
        <w:rPr>
          <w:b/>
        </w:rPr>
        <w:t>E. 4</w:t>
      </w:r>
    </w:p>
    <w:p>
      <w:r>
        <w:t>Gegenstand des vorliegenden Beschwerdeverfahrens sind die wirtschaft- lichen Nebenfolgen des Einstellungsentscheids mit einem strittigen Betrag unter Fr. 5'000.–. Zuständig für die Behandlung der Beschwerde ist daher die Verfah- rensleitung bzw. der Präsident der Beschwerdeinstanz (Art. 395 lit. b StPO). 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