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UH160097 vom 25. Juli 2016</w:t>
      </w:r>
    </w:p>
    <w:p>
      <w:r>
        <w:t>ZH Obergericht, 2016-07-25, DE</w:t>
      </w:r>
    </w:p>
    <w:p>
      <w:r>
        <w:rPr>
          <w:b/>
        </w:rPr>
        <w:t xml:space="preserve">Quelle: </w:t>
      </w:r>
      <w:r>
        <w:t>https://mcp.opencaselaw.ch/entscheid/zh_obergericht_UH160097</w:t>
      </w:r>
    </w:p>
    <w:p>
      <w:r>
        <w:t>FR: ZH_OBERGERICHT UH160097 du 25 juillet 2016</w:t>
      </w:r>
    </w:p>
    <w:p>
      <w:r>
        <w:t>IT: ZH_OBERGERICHT UH160097 del 25 luglio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 (Beschwerdeführer im vorliegenden Verfahren) betreibt zu- sammen mit seiner Ehefrau B._____ eine Hundepension in ... [Ort] . Ergänzend erteilen sie Erziehungskurse für Hundehalter (Urk. 2 S. 3; Urk. 5 S. 1).</w:t>
      </w:r>
    </w:p>
    <w:p>
      <w:r>
        <w:rPr>
          <w:b/>
        </w:rPr>
        <w:t>E. 2</w:t>
      </w:r>
    </w:p>
    <w:p>
      <w:r>
        <w:t>Die Staatsanwaltschaft See / Oberland (Beschwerdegegnerin im vorlie- genden Verfahren; nachfolgend nur noch bezeichnet als Staatsanwaltschaft) führ- te ein Strafverfahren gegen den Beschwerdeführer wegen Widerhandlung gegen das Tierschutzgesetz. Der Beschwerdeführer wurde insbesondere verdächtigt, seinem Hund "C._____" ein elektrisierendes Halsband umgebunden und dieses mehrfach betätigt zu haben, um Bellen zu unterbinden (Urk. 5 S. 1 Erw. 1). Der Beschwerdeführer bestritt diesen Vorwurf (Urk. 5 S. 2 Erw. 4).</w:t>
      </w:r>
    </w:p>
    <w:p>
      <w:r>
        <w:rPr>
          <w:b/>
        </w:rPr>
        <w:t>E. 3</w:t>
      </w:r>
    </w:p>
    <w:p>
      <w:r>
        <w:t>Mit Verfügung vom 29. März 2016 stellte die Staatsanwaltschaft das Strafverfahren ein. Gleichzeitig verfügte sie, dass ein sichergestelltes Hunde- Elektrohalsband inkl. Fernbedienung und ein sichergestelltes Zughalsband (Kette) eingezogen und vernichtet würden. Die Verfahrenskosten von Fr. 1'205.-- aufer- legte die Staatsanwaltschaft dem Beschwerdeführer und sprach ihm weder eine Entschädigung noch eine Genugtuung zu (Urk. 7 [Akten der Staatsanwaltschaft B-3/2015/10024935] /27 = Urk. 3/1 = Urk. 5).</w:t>
      </w:r>
    </w:p>
    <w:p>
      <w:r>
        <w:rPr>
          <w:b/>
        </w:rPr>
        <w:t>E. 4</w:t>
      </w:r>
    </w:p>
    <w:p>
      <w:r>
        <w:t>Gegen diese Einstellungsverfügung reichte der Beschwerdeführer bei der hiesigen Kammer am 11. April 2016 eine Beschwerde ein (Urk. 2) mit den Anträ- gen, die angeordnete Einziehung und Vernichtung der Hundehalsbänder sei auf- zuheben und diese Gegenstände seien dem Beschwerdeführer herauszugeben, die Verfahrenskosten seien auf die Staatskasse zu nehmen und dem Beschwer- deführer sei eine Entschädigung von Fr. 10'132.40 zuzusprechen (Urk. 2 S. 2).</w:t>
      </w:r>
    </w:p>
    <w:p>
      <w:r>
        <w:rPr>
          <w:b/>
        </w:rPr>
        <w:t>E. 5</w:t>
      </w:r>
    </w:p>
    <w:p>
      <w:r>
        <w:t>Der Beschwerdeführer wendet ein, die Staatsanwaltschaft verkenne, dass der unzulässige Gebrauch eines elektrisierenden Hundehalsbandes im Auslösen der elektrisierenden Impulse bestehe, nicht in einem (behaupteten, aber nicht er- stellten) höheren Gewicht oder einer negativen Konditionierung des Hundes, wel- che für ihn nach der Darstellung der Staatsanwaltschaft Stress bedeute. Konkret sei das Gegenteil der Fall gewesen. Der ... [Hunderasse] Hund sei durch das An- legen des Halsbandes ruhiger, nicht gestresster geworden. Zur Kostenauflage hält der Beschwerdeführer an seiner in der Beschwerde und zur Einziehung des elektrisierenden Hundehalsbandes dargelegten Position fest (Urk. 11).</w:t>
      </w:r>
    </w:p>
    <w:p>
      <w:r>
        <w:rPr>
          <w:b/>
        </w:rPr>
        <w:t>E. 6</w:t>
      </w:r>
    </w:p>
    <w:p>
      <w:r>
        <w:t>Die Staatsanwaltschaft erklärte nicht, auf welche Gesetzesbestimmung sich die Einziehung der Hundehalsbänder stütze. In Betracht fällt einzig Art. 69 StGB.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