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UH150188 vom 19. Oktober 2015</w:t>
      </w:r>
    </w:p>
    <w:p>
      <w:r>
        <w:t>ZH Obergericht, 2015-10-19, DE</w:t>
      </w:r>
    </w:p>
    <w:p>
      <w:r>
        <w:rPr>
          <w:b/>
        </w:rPr>
        <w:t xml:space="preserve">Quelle: </w:t>
      </w:r>
      <w:r>
        <w:t>https://mcp.opencaselaw.ch/entscheid/zh_obergericht_UH150188</w:t>
      </w:r>
    </w:p>
    <w:p>
      <w:r>
        <w:t>FR: ZH_OBERGERICHT UH150188 du 19 octobre 2015</w:t>
      </w:r>
    </w:p>
    <w:p>
      <w:r>
        <w:t>IT: ZH_OBERGERICHT UH150188 del 19 ottobre 2015</w:t>
      </w:r>
    </w:p>
    <w:p>
      <w:pPr>
        <w:pStyle w:val="Heading2"/>
      </w:pPr>
      <w:r>
        <w:t>Erwägungen</w:t>
      </w:r>
    </w:p>
    <w:p>
      <w:r>
        <w:rPr>
          <w:b/>
        </w:rPr>
        <w:t>E. 1</w:t>
      </w:r>
    </w:p>
    <w:p>
      <w:r>
        <w:t>Die Staatsanwaltschaft See/Oberland (nachfolgend: Staatsanwaltschaft) führte eine Strafuntersuchung gegen A._____ sowie B._____ (nachfolgend: Be- schwerdeführer; Urk. 12/1-6). Mit Einstellungsverfügungen vom 9. Juni 2015 wur- de das Strafverfahren betreffend Hausfriedensbruch (ND 4), Diebstahl etc. (ND 5), Sachbeschädigung (ND 6) sowie Diebstahl (ND 7) eingestellt. Die Kosten der Verfügungen wurden auf die Staatskasse genommen; den Beschwerdeführern wurde weder eine Entschädigung noch eine Genugtuung ausgerichtet (Urk. 5, Urk. 6, Urk. 7, Urk. 8). Am selben Tag wurde gegen die Beschwerdeführer wegen Nötigung etc. Anklage erhoben (Urk. 12/5-6).</w:t>
      </w:r>
    </w:p>
    <w:p>
      <w:r>
        <w:rPr>
          <w:b/>
        </w:rPr>
        <w:t>E. 2</w:t>
      </w:r>
    </w:p>
    <w:p>
      <w:r>
        <w:t>eventuell sei die Sache an die Staatsanwaltschaft zur Bemessung und Zusprechung einer Prozessentschädigung an die Beschwer- deführer zurückzuweisen.</w:t>
      </w:r>
    </w:p>
    <w:p>
      <w:r>
        <w:rPr>
          <w:b/>
        </w:rPr>
        <w:t>E. 2.1</w:t>
      </w:r>
    </w:p>
    <w:p>
      <w:r>
        <w:t>ND 4: "4. Die Festlegung allfälliger Entschädigungen oder Genugtu- ungen wird dem Endentscheid im Verfahren vor Bezirksge- richt Pfäffikon gestützt auf die Anklagen vom 9. Juni 2015 in Sachen STASO/2011/151103215 vorbehalten."</w:t>
      </w:r>
    </w:p>
    <w:p>
      <w:r>
        <w:rPr>
          <w:b/>
        </w:rPr>
        <w:t>E. 2.2</w:t>
      </w:r>
    </w:p>
    <w:p>
      <w:r>
        <w:t>ND 5: "4. Die Festlegung allfälliger Entschädigungen oder Genugtu- ungen wird dem Endentscheid im Verfahren vor Bezirksge- richt Pfäffikon gestützt auf die Anklagen vom 9. Juni 2015 in Sachen STASO/2011/151103215 vorbehalten."</w:t>
      </w:r>
    </w:p>
    <w:p>
      <w:r>
        <w:rPr>
          <w:b/>
        </w:rPr>
        <w:t>E. 2.3</w:t>
      </w:r>
    </w:p>
    <w:p>
      <w:r>
        <w:t>ND 6: "4. Die Festlegung allfälliger Entschädigungen oder Genugtu- ungen wird dem Endentscheid im Verfahren vor Bezirksge- richt Pfäffikon gestützt auf die Anklagen vom 9. Juni 2015 in Sachen STASO/2011/151103215 vorbehalten."</w:t>
      </w:r>
    </w:p>
    <w:p>
      <w:r>
        <w:rPr>
          <w:b/>
        </w:rPr>
        <w:t>E. 2.4</w:t>
      </w:r>
    </w:p>
    <w:p>
      <w:r>
        <w:t>ND 7: "4. Die Festlegung allfälliger Entschädigungen oder Genugtu- ungen wird dem Endentscheid im Verfahren vor Bezirksge- richt Pfäffikon gestützt auf die Anklagen vom 9. Juni 2015 in Sachen STASO/2011/151103215 vorbehalten."</w:t>
      </w:r>
    </w:p>
    <w:p>
      <w:r>
        <w:rPr>
          <w:b/>
        </w:rPr>
        <w:t>E. 3</w:t>
      </w:r>
    </w:p>
    <w:p>
      <w:r>
        <w:t>Die Kosten des Beschwerdeverfahrens seien auf die Staatskasse zu nehmen. Über die Entschädigungsfolgen sei ausgangsgemäss zu entscheiden."</w:t>
      </w:r>
    </w:p>
    <w:p>
      <w:r>
        <w:rPr>
          <w:b/>
        </w:rPr>
        <w:t>E. 3.1</w:t>
      </w:r>
    </w:p>
    <w:p>
      <w:r>
        <w:t>Gemäss Art. 430 Abs. 1 lit. c StPO kann der beschuldigten Person im Falle von Geringfügigkeit der Aufwendungen eine Entschädigung verweigert werden. Die Beschwerdeführer machten einen nur für die besagten Nebendossiers ent- standenen Aufwand ihrer Rechtsvertretung von 10 Stunden und 35 Minuten gel- tend, so unter anderem deren Anwesenheit an der polizeilichen Befragung vom</w:t>
      </w:r>
    </w:p>
    <w:p>
      <w:r>
        <w:rPr>
          <w:b/>
        </w:rPr>
        <w:t>E. 3.2</w:t>
      </w:r>
    </w:p>
    <w:p>
      <w:r>
        <w:t>Gemäss Art. 430 Abs. 1 lit. a StPO kann – wie zuvor ausgeführt (E. III. 1.) – eine Entschädigung verweigert werden, wenn die beschuldigte Person rechtswid- rig und schuldhaft die Einleitung des Verfahrens bewirkt oder dessen Durchfüh- rung erschwert hat. Ob die Staatsanwaltschaft in ihrer Stellungnahme andere Gründe zur Verweigerung einer Entschädigung nachschieben kann, kann vorlie-</w:t>
      </w:r>
    </w:p>
    <w:p>
      <w:r>
        <w:t>- 9 - gend offen gelassen werden (vgl. BSK StPO-Domeisen, 2. Aufl., Basel 2014, Art. 426 N 33). Denn selbst wenn dem so wäre, könnte den Beschwerdeführern eine Entschädigung gestützt auf die nachgeschobene Begründung der Staatsan- waltschaft nicht verweigert werden, da es sich bei den geltend gemachten Grün- den weder um unstrittige noch um klar nachgewiesene Umstände handelt. Vorweg ist festzuhalten, dass die Staatsanwaltschaft betreffend Nebendossier 4 selbst ausführte, die Strafanzeige sei unbegründet gewesen (Urk. 11 S. 3); sie machte dementsprechend diesbezüglich gar keine Verweigerungsgründe gemäss Art. 430 Abs. 1 lit. a StPO geltend. Was die Nebendossiers 5 und 6 anbelangt, er- klärte sie, das "Gebot des Handelns nach Treu und Glauben gemäss Art. 2 Abs. 1 ZGB (Abriss von Pferdeboxen, ND 5)" resp. "das allgemeine Schädigungsverbot "neminem laedere" oder der Gefahrensatz (Abschleppen des Wohnwagens)" sei- en verletzt worden (Urk. 11 S. 3). Weshalb die entsprechenden Verstösse gegen zivilrechtliche Normen ausgewiesen sein sollten, erläuterte sie nicht. Aus den Ein- stellungsverfügungen ergibt sich dies nicht. In der Einstellungsverfügung betref- fend Nebendossier 5 hielt sie selbst fest, der durch die Beschwerdeführer erfolgte Abbau der Pferdeboxen sei rechtmässig gewesen und es stünde hinsichtlich der weiteren Vorwürfe betreffend die beim Abbruch der Pferdeboxen entstandenen Sachschäden Aussage gegen Aussage und dementsprechend könne der Beweis nicht anklagegenügend erbracht werden (Urk. 6 S. 2 f.). Worin nun ein Verstoss gegen Treu und Glauben durch den Beschwerdeführer liegen sollte, legt sie nicht dar. Gleich verhält es sich betreffend Nebendossier 6; die Staatsanwaltschaft hielt diesbezüglich fest, dass sich der Kausalzusammenhang zwischen dem Ab- schleppmanöver und allfälligen Schäden am Wohnwagen nicht anklagegenügend erstellen lasse, da sich insbesondere aufgrund des Zeitablaufs nicht mit Be- stimmtheit feststellen lasse, wann allfällige Schäden entstanden seien bzw. sich nicht ausschliessen liesse, dass solche nicht schon vor dem Abschleppen vor- handen gewesen seien, jedoch zuvor mangels eingehender Überprüfung nicht festgestellt worden seien oder gar nach dem Abschleppmanöver entstanden sei- en (Urk. 7 S. 2). Was die geltend gemachte Verletzung der Eigentumsgarantie (Verfütterung fremden Heus) betreffend Nebendossier 7 anbelangt, so ist auch dies nicht erwiesen. Wie die Beschwerdeführer zutreffend ausführten (Urk. 15</w:t>
      </w:r>
    </w:p>
    <w:p>
      <w:r>
        <w:t>- 10 - S. 5), bestritten sie den Vorwurf in der Strafuntersuchung (Urk. 12/4/ND7/3 S. 7, Urk. 12/4/ND7/1 S. 6). Die Anzeigeerstatter erklärten, sie "glaubten", dass die Be- schwerdeführer drei Monate lang ihr Heu [der Anzeigeerstatter] an ihre eigenen Pferde verfüttert hätten (Urk. 12/4/ND7/1 S. 5). C._____ erklärte auf telefonische Anfrage, sie hätte gesehen, dass die Beschwerdeführerin ca. 1 Kilo Heu [Wert: 0.37 Fr.; Urk. 8 S. 2] aus der Box der Anzeigeerstatter genommen habe, sie je- doch nicht wisse, ob die Beschwerdeführerin nicht zuvor Heu hineingelegt und danach wieder herausgenommen habe (Urk. 12/4/ND7/1 S. 6). Alleine diese vage telefonische Erklärung reicht nicht aus, um eine Verletzung der Eigentumsgaran- tie im Sinne der Rechtsprechung klar nachzuweisen.</w:t>
      </w:r>
    </w:p>
    <w:p>
      <w:r>
        <w:rPr>
          <w:b/>
        </w:rPr>
        <w:t>E. 3.3</w:t>
      </w:r>
    </w:p>
    <w:p>
      <w:r>
        <w:t>Zusammenfassend ist festzuhalten, dass kein Verweigerungsgrund für eine Entschädigung vorliegt, weshalb die Beschwerde grundsätzlich gutzuheissen ist. In diesem Zusammenhang bleibt anzufügen, dass soweit die Staatsanwaltschaft eventualiter die Verweisung der Entschädigungsfrage auf den Endentscheid "be- antragte", sie selbst – entgegen ihren Ausführungen in ihren Stellungnahmen, die im Widerspruch zu ihrem "Hauptantrag" auf Abweisung der Beschwerde stehen – entschieden hat, die Entschädigungsfrage im Sinne von Art. 421 Abs. 2 StPO in den Teileinstellungsverfügungen vorweg zu nehmen, was korrekt ist. Es gibt kei- nen Grund, darauf zurückzukommen. Es ist im Übrigen nicht Sache eines Strafge- richts, sich mit Sachverhalten auseinanderzusetzen, die nicht Gegenstand der Anklage sind. Ob sich aus einer von der Staatsanwaltschaft eingestellten Strafun- tersuchung ein Anspruch auf Schadenersatz und Genugtuung ergibt, ist grund- sätzlich von dieser zu beurteilen, allenfalls unter Berücksichtigung des Ergebnis- ses eines fortgesetzten Verfahrens, namentlich einer dort erfolgten Anrechnung von Haft an die zu verbüssende Strafe. 4. Die Staatsanwaltschaft hat die geltend gemachte Entschädigung in der Hö- he von Fr. 3'354.20 nicht überprüft. Es ist nicht Aufgabe der Beschwerdeinstanz, sich erstinstanzlich mit einzelnen Positionen der Honorarnote auseinanderzuset- zen und diese auf ihre Angemessenheit hin zu prüfen. Dies hätte für die Be- schwerdeführer einen Instanzenverlust zur Folge. Daher sind in Gutheissung der der Beschwerde die Dispositivziffern 4 der angefochtenen Einstellungsverfügun-</w:t>
      </w:r>
    </w:p>
    <w:p>
      <w:r>
        <w:t>- 11 - gen aufzuheben und die Sache ist zur Beurteilung des Entschädigungsanspruchs der Beschwerdeführer an die Staatsanwaltschaft zurückzuweisen. IV. 1. Bei diesem Verfahrensausgang sind die Kosten des Beschwerdeverfahrens auf die Gerichtskasse zu nehmen (Art. 428 Abs. 1 und 4 StPO). 2. Sodann ist den Beschwerdeführern für das Beschwerdeverfahren eine Pro- zessentschädigung aus der Gerichtskasse zuzusprechen (Art. 436 Abs. 1 i.V.m. Art. 429 Abs. 1 lit. a StPO). Der Rechtsvertreter der Beschwerdeführer beantragte eine Entschädigung von Fr. 3'850.00 zzgl. 8% MwSt. basierend auf seinem Zeit- aufwand (Urk. 2 S. 8, Urk. 15 S. 7). Die Entschädigung bemisst sich jedoch in Be- schwerdeverfahren betreffend Entschädigungsansprüche nach dem Streitwert (§ 19 Abs. 2 AnwGebV). Bei einem Streitwert von Fr. 3'354.20 zzgl. 8% MwSt. ist die Entschädigung in Anwendung von § 19 Abs. 2 i.V.m. § 9 und § 4 Abs. 1 und Abs. 2 AnwGebV auf Fr. 800.00 zzgl. 8% MwSt. festzusetzen. Es wird verfügt: (Oberrichter lic. iur. Th. Meyer)</w:t>
      </w:r>
    </w:p>
    <w:p>
      <w:r>
        <w:rPr>
          <w:b/>
        </w:rPr>
        <w:t>E. 4</w:t>
      </w:r>
    </w:p>
    <w:p>
      <w:r>
        <w:t>Innert der mit Verfügung vom 22. Juli 2015 angesetzten Frist replizierten die Beschwerdeführer mit Eingabe vom 29. Juli 2015, wobei sie die beantragte Pro- zessentschädigung für das Beschwerdeverfahren um Fr. 1'050.00 zzgl. 8% MwSt. erhöhten (Urk. 14, Urk. 15 S. 7). Mit Verfügung vom 4. August 2015 wurde in der Folge der Staatsanwaltschaft Frist zur Duplik angesetzt (Urk. 17), worauf diese dem mit Eingabe vom 17. August 2015 nachkam (Urk. 19). Die Duplik wurde den Beschwerdeführern daraufhin mit Schreiben vom 20. August 2015 zugestellt (Urk. 21); diese liessen sich innert Frist nicht mehr vernehmen. Das Verfahren erweist sich als spruchreif.</w:t>
      </w:r>
    </w:p>
    <w:p>
      <w:r>
        <w:t>- 4 -</w:t>
      </w:r>
    </w:p>
    <w:p>
      <w:r>
        <w:rPr>
          <w:b/>
        </w:rPr>
        <w:t>E. 5</w:t>
      </w:r>
    </w:p>
    <w:p>
      <w:r>
        <w:t>Die Beschwerdeführer machten geltend, die angefochtenen Einstellungsver- fügungen am 18. Juni 2015 entgegengenommen zu haben (Urk. 2 S. 4). Mangels gegenteiliger Anhaltspunkte ist trotz fehlender Empfangsbestätigung in den Akten davon auszugehen, dass die Beschwerde innert der zehntägigen Beschwerdefrist und somit rechtzeitig erhoben wurde.</w:t>
      </w:r>
    </w:p>
    <w:p>
      <w:r>
        <w:rPr>
          <w:b/>
        </w:rPr>
        <w:t>E. 6</w:t>
      </w:r>
    </w:p>
    <w:p>
      <w:r>
        <w:t>Lediglich soweit erforderlich, d.h. für die Entscheidfindung notwendig, ist nachfolgend auf die Ausführungen seitens der Beschwerdeführer und die Be- gründung der Staatsanwaltschaft näher einzugehen. III. 1. Der beschuldigten Person können bei Freispruch oder Einstellung des Ver- fahrens die Kosten auferlegt werden, wenn sie rechtswidrig und schuldhaft die Einleitung des Verfahrens bewirkt oder dessen Durchführung erschwert hat (Art. 426 Abs. 2 StPO). Diese Formulierung gibt die frühere Rechtsprechung zu Art. 32 Abs. 1 BV und Art. 6 Ziff. 2 EMRK wieder, wonach einer nicht verurteilten beschuldigten Person die Kosten überbunden werden können, wenn sie in zivil- rechtlich vorwerfbarer Weise – d.h. im Sinne einer analogen Anwendung der sich aus Art. 41 OR ergebenden Grundsätze – gegen eine geschriebene oder unge- schriebene Verhaltensnorm, die aus der gesamten schweizerischen Rechtsord- nung stammen kann, klar verstossen und dadurch das Strafverfahren veranlasst oder dessen Durchführung erschwert hat (BGE 116 Ia 162 E. 2e). Dabei darf sich die Kostenauflage in tatsächlicher Hinsicht nur auf unbestrittene oder bereits klar nachgewiesene Umstände stützen (BGE 112 Ia 371 E. 2a). Unter den gleichen Voraussetzungen kann der beschuldigten Person die Entschädigung für die Aus- übung ihrer Verfahrensrechte verweigert oder herabgesetzt werden (Art. 430 Abs. 1 lit. a StPO). Es gilt der Grundsatz, dass bei Auferlegung der Kosten keine Entschädigung auszurichten ist, während bei Übernahme der Kosten durch die Staatskasse die beschuldigte Person Anspruch auf Entschädigung hat. Dieser Grundsatz gilt aber nicht absolut (vgl. BGE 137 IV 352 E. 2.4.2). Ein nicht ge- rechtfertigter Verzicht auf eine Kostenauflage, obschon die betroffene Person die Einleitung des Strafverfahrens rechtswidrig und schuldhaft bewirkt hat, verschafft keinen Anspruch auf eine Entschädigung (Urteil des Bundesgerichts 6B_331/2012 vom 22. Oktober 2012 E. 2.8; Urteil des Obergerichts des Kantons</w:t>
      </w:r>
    </w:p>
    <w:p>
      <w:r>
        <w:t>- 8 - Zürich SB140208 vom 3. November 2014 E. 3.1, Urteil des Obergerichts des Kan- tons Zürich SB140303 vom 19. Januar 2015 E. 3.4). 2. Vorab ist festzuhalten, dass auf die Ausführungen der Parteien hinsichtlich Dispositivziffer 3 der Einstellungsverfügungen (Nichtauferlegung von Kosten der Verfügungen) nicht einzugehen ist. Diese Dispositivziffern wurden nicht angefoch- ten und bilden somit nicht Gegenstand des vorliegenden Beschwerdeverfahrens. Es ist ohnehin nicht ausschlaggebend, ob sämtliche Kosten betreffend die Ne- bendossiers 4 bis 7 auf die Staatskasse genommen worden sind; denn selbst wenn dem so wäre, hätte dies – wie zuvor ausgeführt – keine absolute präjudizie- rende Wirkung. Nachfolgend ist daher unabhängig von der Frage der Kostenauf- lage zu prüfen, ob ein Verweigerungsgrund für eine Entschädigung vorliegt. In den Einstellungsverfügungen berief sich die Staatsanwaltschaft sinngemäss auf die Geringfügigkeit der Aufwendungen hinsichtlich der eingestellten Nebendos- siers und somit auf Art. 430 Abs. 1 lit. c StPO; in der Stellungnahme machte sie schliesslich Verweigerungsgründe im Sinne von Art. 430 Abs. 1 lit. a StPO gel- tend.</w:t>
      </w:r>
    </w:p>
    <w:p>
      <w:r>
        <w:rPr>
          <w:b/>
        </w:rPr>
        <w:t>E. 7</w:t>
      </w:r>
    </w:p>
    <w:p>
      <w:r>
        <w:t>Juli 2011 (Urk. 3/6, Urk. 12/1/ND4/6 = Urk. 12/2/ND5/4 = Urk. 12/3/ND6/6 = Urk. 12/4/ND7/3). Die Staatsanwaltschaft bestritt nicht, dass die in der Honorar- abrechnung aufgeführten Positionen lediglich Tätigkeiten hinsichtlich der Neben- dossiers 4 bis 7 betreffen. Von Geringfügigkeit im Sinne von Art. 430 Abs. 1 lit. c StPO kann daher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