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UH150075 vom 24. März 2015</w:t>
      </w:r>
    </w:p>
    <w:p>
      <w:r>
        <w:t>ZH Obergericht, 2015-03-24, DE</w:t>
      </w:r>
    </w:p>
    <w:p>
      <w:r>
        <w:rPr>
          <w:b/>
        </w:rPr>
        <w:t xml:space="preserve">Quelle: </w:t>
      </w:r>
      <w:r>
        <w:t>https://mcp.opencaselaw.ch/entscheid/zh_obergericht_UH150075</w:t>
      </w:r>
    </w:p>
    <w:p>
      <w:r>
        <w:t>FR: ZH_OBERGERICHT UH150075 du 24 mars 2015</w:t>
      </w:r>
    </w:p>
    <w:p>
      <w:r>
        <w:t>IT: ZH_OBERGERICHT UH150075 del 24 marzo 2015</w:t>
      </w:r>
    </w:p>
    <w:p>
      <w:pPr>
        <w:pStyle w:val="Heading2"/>
      </w:pPr>
      <w:r>
        <w:t>Erwägungen</w:t>
      </w:r>
    </w:p>
    <w:p>
      <w:r>
        <w:rPr>
          <w:b/>
        </w:rPr>
        <w:t>E. 1</w:t>
      </w:r>
    </w:p>
    <w:p>
      <w:r>
        <w:t>Vor der 4. Abteilung des Bezirksgerichts Zürich (nachfolgend: Vorinstanz) ist ein Strafverfahren gegen A._____ (Beschwerdeführer) wegen versuchter Verge- waltigung anhängig. Mit Schreiben vom 6. März 2015 wies der Vorsitzende der Vorinstanz ein vom Verteidiger des Beschwerdeführers mit Schreiben vom 4. März 2015 gestelltes Gesuch um Aktenbeizug bzw. Akteneinsicht ab (Urk. 3).</w:t>
      </w:r>
    </w:p>
    <w:p>
      <w:r>
        <w:rPr>
          <w:b/>
        </w:rPr>
        <w:t>E. 2</w:t>
      </w:r>
    </w:p>
    <w:p>
      <w:r>
        <w:t>Gegen dieses Schreiben, welches inhaltlich eine verfahrensleitende Verfügung im Sinne von Art. 80 Abs. 3 StPO darstellt, reichte die Verteidigung des Be- schwerdeführers innert zehn Tagen nach Erhalt eine Beschwerde bei der hiesigen Kammer ein (Urk. 2). Darin wird der Hauptantrag gestellt, die Vorinstanz sei an- zuweisen, die Akten Nr. … beim Büro A-5 der Staatsanwaltschaft II des Kantons Zürich beizuziehen und dem Verteidiger des Beschwerdeführers zur Einsicht zur Verfügung zu stellen (Urk. 2 S. 2). Zudem wird beantragt, der Beschwerde sei aufschiebende Wirkung zu verleihen und es sei anzuordnen, dass die von der Vo- rinstanz auf den 11. Mai 2015 angesetzte Hauptverhandlung abzusagen ist, so- fern das vorliegende Beschwerdeverfahren nicht bis 15. April 2015 rechtskräftig entschieden sein sollte.</w:t>
      </w:r>
    </w:p>
    <w:p>
      <w:r>
        <w:rPr>
          <w:b/>
        </w:rPr>
        <w:t>E. 3</w:t>
      </w:r>
    </w:p>
    <w:p>
      <w:r>
        <w:t>StPO). Letztlich wird auch in der Beschwerde eingeräumt, dass von einem Be- weisantrag auszugehen ist, wird doch ausgeführt, die Verteidigung benötige die Akteneinsicht im Hinblick auf das erstinstanzliche Plädoyer (Urk. 2 Ziff. 12 a.E. und Ziff. 21); die Akteneinsicht sei notwendig, um die Aussagen von Zeugen beur- teilen zu können (Urk. 2 Ziff. 18), mithin zur Beweisführung und Beweiswürdigung. c) Doch selbst wenn davon ausgegangen würde, beim beantragten Aktenbeizug handle es sich nicht um einen Beweisantrag, wäre auf die Beschwerde nicht ein- zutreten. Verfahrensleitende Entscheide der erstinstanzlichen Gerichte sind nur dann ausnahmsweise beschwerdefähig, wenn sie einen nicht wiedergutzuma- chenden Nachteil rechtlicher Natur bewirken können (Urteile Bundesgericht 1B_569/2011 vom 23. Dezember 2011 Erw. 2 m.H. und 1B_678/2012 vom</w:t>
      </w:r>
    </w:p>
    <w:p>
      <w:r>
        <w:t>- 6 - 9. Januar 2013 Erw. 1; ZR 113 Nr. 12 Erw. 1.1). Davon geht auch die Beschwer- de aus (Urk. 2 Ziff. 12). In der angefochtenen Verfügung wird ausdrücklich festge- halten, der Antrag auf Aktenbeizug bzw. Akteneinsicht könne an der erstinstanzli- chen Hauptverhandlung erneut gestellt werden. Damit wird zum Ausdruck ge- bracht, dass die Vorinstanz einen erneut gestellten entsprechenden Antrag prüfen und ihm allenfalls stattgeben würde. Insofern ist nicht von einem nicht wiedergut- zumachenden Nachteil auszugehen. Dies gälte auch dann, wenn die Vorinstanz den Antrag ablehnen würde, denn im Rahmen eines allfälligen Berufungsverfah- rens könnte der Antrag erneut gestellt bzw. die Ablehnung des Antrags durch die Erstinstanz gerügt werden. Die genannte Voraussetzung ist daher nicht gegeben. Daran ändert nichts, wenn in der Beschwerde in diesem Kontext auch eine Ver- letzung der Begründungspflicht und des Willkürverbots (Urk. 2 Ziff. 14), eine Ver- weigerung des rechtlichen Gehörs (Urk. 2 Ziff. 19) und ein überspitzter Formalis- mus (Urk. 2 Ziff. 15) geltend gemacht wird. 5.5 Abschliessend ist festzuhalten, dass auf die Beschwerde nicht einzutreten ist.</w:t>
      </w:r>
    </w:p>
    <w:p>
      <w:r>
        <w:rPr>
          <w:b/>
        </w:rPr>
        <w:t>E. 6</w:t>
      </w:r>
    </w:p>
    <w:p>
      <w:r>
        <w:t>Die StPO geht vom Grundsatz aus, dass die Kostenfolgen im Endentscheid festgelegt werden (Art. 421 Abs. 1 StPO). Dieser Grundsatz findet auch im Rechtsmittelverfahren Anwendung (vgl. Botschaft zur Vereinheitlichung des Straf- prozessrechts vom 21. Dezember 2005, BBl 2006, S. 1325, sowie Schmid, a.a.O., Art. 421 N 1). Daher ist im vorliegenden Zwischenentscheid keine Regelung der Kosten- und Entschädigungsfolgen vorzunehmen. Es ist indessen zuhanden der das Strafverfahren abschliessenden Strafbehörde die Gerichtsgebühr für das Be- schwerdeverfahren festzusetzen; sie ist nach Massgabe von § 2 Abs. 1 lit. b-d GebV OG (Bedeutung des Falls, Zeitaufwand des Gerichts, Schwierigkeit des Falls) und gestützt auf § 17 Abs. 1 GebV OG auf Fr. 500.-- zu bemessen. Die Entschädigung der amtlichen Verteidigung ist durch die das Verfahren ab- schliessende Strafbehörde festzusetzen (Art. 135 Abs. 2 StPO). Diese wird dabei zu beurteilen haben, inwieweit die Verteidigung für die Erhebung der klarerweise unzulässigen Beschwerde zu entschädigen ist, da grundsätzlich nur sachgerech- te, notwendige und verhältnismässige Aufwendungen entschädigungspflichtig sind (Urteil BGer 6B_730/2014 vom 2. März 2015 Erw. 3.1).</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