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UH140382 vom 21. Januar 2015</w:t>
      </w:r>
    </w:p>
    <w:p>
      <w:r>
        <w:t>ZH Obergericht, 2015-01-21, DE</w:t>
      </w:r>
    </w:p>
    <w:p>
      <w:r>
        <w:rPr>
          <w:b/>
        </w:rPr>
        <w:t xml:space="preserve">Quelle: </w:t>
      </w:r>
      <w:r>
        <w:t>https://mcp.opencaselaw.ch/entscheid/zh_obergericht_UH140382</w:t>
      </w:r>
    </w:p>
    <w:p>
      <w:r>
        <w:t>FR: ZH_OBERGERICHT UH140382 du 21 janvier 2015</w:t>
      </w:r>
    </w:p>
    <w:p>
      <w:r>
        <w:t>IT: ZH_OBERGERICHT UH140382 del 21 gennaio 2015</w:t>
      </w:r>
    </w:p>
    <w:p>
      <w:pPr>
        <w:pStyle w:val="Heading2"/>
      </w:pPr>
      <w:r>
        <w:t>Erwägungen</w:t>
      </w:r>
    </w:p>
    <w:p>
      <w:r>
        <w:rPr>
          <w:b/>
        </w:rPr>
        <w:t>E. 1</w:t>
      </w:r>
    </w:p>
    <w:p>
      <w:r>
        <w:t>Am 27. Oktober 2014 fand vor Bezirksgericht Pfäffikon (Beschwerdegeg- nerin) die Hauptverhandlung in der Sache Staatsanwaltschaft Zürich-Limmat ge- gen A._____ (Beschwerdeführer) betreffend Drohung statt (vgl. UV140011 Urk. 11/4). Der amtliche Verteidiger des Beschwerdeführers stellte in seinem Plä- doyer unter anderem den prozessualen Antrag auf umgehende Entlassung des Beschwerdeführers aus dem vorzeitigen Strafvollzug (UV140011 Urk. 3/4 S. 4 = Urk. 5/2 S. 4). Am 11. November 2014 fragte der amtliche Verteidiger bei der zuständigen Gerichtsschreiberin telefonisch nach dem Verbleib des Entscheids über den An- trag um Entlassung aus dem vorzeitigen Strafvollzug. Die Gerichtsschreiberin ver- fasste eine Aktennotiz betreffend das Telefongespräch (Urk. 3/2) und liess diese der amtlichen Verteidigung zukommen. Mit Eingabe vom 14. November 2014 ver- langte die amtliche Verteidigung eine "Protokollberichtigung" der Aktennotiz (Urk. 3/3), welche mit Verfügung vom 17. November 2014 (Urk. 3/1 = Urk. 5) ab- gewiesen wurde.</w:t>
      </w:r>
    </w:p>
    <w:p>
      <w:r>
        <w:rPr>
          <w:b/>
        </w:rPr>
        <w:t>E. 2</w:t>
      </w:r>
    </w:p>
    <w:p>
      <w:r>
        <w:t>Die erkennende Kammer hat sich bereits in ihrem Entscheid UH130216 vom 11. November 2013, welcher öffentlich zugänglich ist (http://www.gerichte- zh.ch/entscheide), mit der Frage beschäftigt, ob gegen die Abweisung eines Pro- tokollberichtigungsbegehrens die Beschwerde zulässig ist. Sie hat die Frage unter Berücksichtigung der verschiedenen Lehrmeinungen sowie der bundesgerichtli- chen Rechtsprechung (Urteile des Bundesgerichts 1B_569/2011 vom 23. Dezember 2011 E. 2 und 1B_678/2012 vom 9. Januar 2013 E. 1) bejaht. Zu- sammengefasst hat sie dabei argumentiert, es erscheine sinnvoll, eine Kongruenz mit der Zulässigkeit der Strafrechtsbeschwerde ans Bundesgericht gegen Zwi- schenentscheide gemäss Art. 93 Abs. 1 BGG anzustreben. Der Entscheid betref- fend die Abweisung eines Protokollberichtigungsbegehrens sei geeignet, einen nicht wieder gutzumachenden Nachteil zu bewirken, welcher durch einen für die rechtsuchende Partei günstigen Endentscheid nachträglich nicht mehr behoben werden könne. Er müsse daher beschwerdefähig sein. So werde auch dem in Art. 80 Abs. 2 BGG festgehaltenen Prinzip des doppelten Instanzenzugs Nach- achtung verschafft (E II). Die Verfügung betreffend Abweisung des Protokollberichtigungsbegehrens der Beschwerdegegnerin vom 17. November 2014 ist folglich ein zulässiges Be- schwerdeobjekt im Sinne von Art. 393 Abs. 1 lit. b StPO.</w:t>
      </w:r>
    </w:p>
    <w:p>
      <w:r>
        <w:rPr>
          <w:b/>
        </w:rPr>
        <w:t>E. 3</w:t>
      </w:r>
    </w:p>
    <w:p>
      <w:r>
        <w:t>Der Beschwerdeführer formulierte in seinem Rechtsbegehren wie die Ak- tennotiz seiner Ansicht nach lauten sollte (vgl. Urk. 2 S. 2). Er rügte damit, die No- tiz sei inhaltlich falsch und gebe nicht den gesprochenen Wortlaut wieder. Dies kann die Rechtsmittelinstanz nicht überprüfen. Im Beschwerdeverfahren über- prüfbare Verfahrensmängel hat der Beschwerdeführer nicht geltend gemacht. Auf die Beschwerde ist demzufolge nicht einzutreten. IV. Ausgangsgemäss wird der Beschwerdeführer kostenpflichtig (Art. 428 Abs. 1 StPO). Die Gerichtsgebühr ist auf Fr. 500.– festzusetzen (§ 17 Abs. 1 in Verbindung mit § 2 Abs. 1 lit. b bis d GebV OG). Die Kosten der amtlichen Vertei- digung sind auf die Gerichtskasse zu nehmen. Die Rückerstattungspflicht gemäss Art. 135 abs. 4 StPO bleibt vorbehalten. Der amtliche Verteidiger ist sodann zu ersuchen, die Aufstellung seines Zeitaufwands und seiner Auslagen schriftlich einzureichen, damit seine Entschädigung festgesetzt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