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UH140347 vom 23. März 2015</w:t>
      </w:r>
    </w:p>
    <w:p>
      <w:r>
        <w:t>ZH Obergericht, 2015-03-23, DE</w:t>
      </w:r>
    </w:p>
    <w:p>
      <w:r>
        <w:rPr>
          <w:b/>
        </w:rPr>
        <w:t xml:space="preserve">Quelle: </w:t>
      </w:r>
      <w:r>
        <w:t>https://mcp.opencaselaw.ch/entscheid/zh_obergericht_UH140347</w:t>
      </w:r>
    </w:p>
    <w:p>
      <w:r>
        <w:t>FR: ZH_OBERGERICHT UH140347 du 23 mars 2015</w:t>
      </w:r>
    </w:p>
    <w:p>
      <w:r>
        <w:t>IT: ZH_OBERGERICHT UH140347 del 23 marzo 2015</w:t>
      </w:r>
    </w:p>
    <w:p>
      <w:pPr>
        <w:pStyle w:val="Heading2"/>
      </w:pPr>
      <w:r>
        <w:t>Erwägungen</w:t>
      </w:r>
    </w:p>
    <w:p>
      <w:r>
        <w:rPr>
          <w:b/>
        </w:rPr>
        <w:t>E. 1</w:t>
      </w:r>
    </w:p>
    <w:p>
      <w:r>
        <w:t>Das Stadtrichteramt Zürich bestrafte A._____ (nachfolgend: Beschwerdefüh- rer) mit Strafbefehl vom 9. Mai 2014 mit einer Busse von Fr. 250.00 wegen Miss- achtens eines Lichtsignals im Sinne von Art. 90 Ziff. 1 SVG i.V.m. Art. 27 Abs. 1 SVG und Art. 68 Abs. 1 SSV und auferlegte ihm die Kosten in der Höhe von Fr. 250.00 (Urk. 8/3). Mit Verfügung vom 6. Oktober 2014 trat das Bezirksgericht Zürich (nachfolgend: Vorinstanz) auf die vom Beschwerdeführer dagegen erho- bene Einsprache infolge Formungültigkeit nicht ein (Urk. 3/2 = Urk. 5 = Urk. 8/8). Der Beschwerdeführer nahm die Verfügung am 20. Oktober 2014 entgegen (Urk. 8/9/2).</w:t>
      </w:r>
    </w:p>
    <w:p>
      <w:r>
        <w:rPr>
          <w:b/>
        </w:rPr>
        <w:t>E. 2</w:t>
      </w:r>
    </w:p>
    <w:p>
      <w:r>
        <w:t>Es sei von einer Kautionierung meines Klienten für das Be- schwerdeverfahren angesichts der klaren Sach- und Rechtslage abzusehen.</w:t>
      </w:r>
    </w:p>
    <w:p>
      <w:r>
        <w:rPr>
          <w:b/>
        </w:rPr>
        <w:t>E. 3</w:t>
      </w:r>
    </w:p>
    <w:p>
      <w:r>
        <w:t>Mit Verfügung vom 4. November 2014 wurde der Vorinstanz sowie dem Stadtrichteramt Zürich Frist zur Stellungnahme angesetzt (Urk. 6). Die Vorinstanz verzichtete mit Eingabe vom 5. November 2014 auf Stellungnahme (Urk. 9). Das Stadtrichteramt Zürich beantragte mit Eingabe vom 11. November 2014 die Ab- weisung der Beschwerde (Urk. 10). In der Folge replizierte der Beschwerdeführer innert der mit Verfügung vom 14. November 2014 angesetzten Frist mit Eingabe</w:t>
      </w:r>
    </w:p>
    <w:p>
      <w:r>
        <w:t>- 3 - vom 28. November 2014 (Urk. 12, Urk. 13). Das Verfahren erweist sich damit als spruchreif.</w:t>
      </w:r>
    </w:p>
    <w:p>
      <w:r>
        <w:rPr>
          <w:b/>
        </w:rPr>
        <w:t>E. 4</w:t>
      </w:r>
    </w:p>
    <w:p>
      <w:r>
        <w:t>Nachfolgend ist soweit erforderlich, d.h. für die Entscheidfindung notwendig, auf die Ausführungen seitens des Beschwerdeführers und die Begründung der Vorinstanz näher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