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UH130035 vom 26. April 2013</w:t>
      </w:r>
    </w:p>
    <w:p>
      <w:r>
        <w:t>ZH Obergericht, 2013-04-26, DE</w:t>
      </w:r>
    </w:p>
    <w:p>
      <w:r>
        <w:rPr>
          <w:b/>
        </w:rPr>
        <w:t xml:space="preserve">Quelle: </w:t>
      </w:r>
      <w:r>
        <w:t>https://mcp.opencaselaw.ch/entscheid/zh_obergericht_UH130035</w:t>
      </w:r>
    </w:p>
    <w:p>
      <w:r>
        <w:t>FR: ZH_OBERGERICHT UH130035 du 26 avril 2013</w:t>
      </w:r>
    </w:p>
    <w:p>
      <w:r>
        <w:t>IT: ZH_OBERGERICHT UH130035 del 26 aprile 2013</w:t>
      </w:r>
    </w:p>
    <w:p>
      <w:pPr>
        <w:pStyle w:val="Heading2"/>
      </w:pPr>
      <w:r>
        <w:t>Erwägungen</w:t>
      </w:r>
    </w:p>
    <w:p>
      <w:r>
        <w:rPr>
          <w:b/>
        </w:rPr>
        <w:t>E. 1</w:t>
      </w:r>
    </w:p>
    <w:p>
      <w:r>
        <w:t>Die Staatsanwaltschaft Zürich-Limmat führt eine Strafuntersuchung gegen A._____ und C._____ wegen ungetreuer Geschäftsbesorgung etc. zum Nachteil der B._____ AG (vgl. Urk. 5).</w:t>
      </w:r>
    </w:p>
    <w:p>
      <w:r>
        <w:rPr>
          <w:b/>
        </w:rPr>
        <w:t>E. 2</w:t>
      </w:r>
    </w:p>
    <w:p>
      <w:r>
        <w:t>Gemäss Ziffer 1 der Verfügung vom 25. Februar (recte: Januar) 2013 ge- währt die Staatsanwaltschaft der B._____ AG (Privatklägerin) Einsicht in folgende Untersuchungsakten (Urk. 5): • act. 1 bis 4, • act. 5, 6 und 6.1 • act. 9 • act. 10 und 11 • act. 12 • act. 13: act. 13/12-20; act. 13/32-33; act. 13/178; act. 13/191; act. 13/197- 198; act. 13/215-221; act. 13/215-221; act. 13/224-225; act. 13/AU23, AU25, AU29-34, AU38-42, AU46-47, AU52, AU55, AU57-59, AU66-69, AU73, AU77-79, AU85, AU92, AU96, AU98-99, AU102, AU106, AU110 • act. 14, 14.1 und 14.2 • act. 16: act. 16/8/7-8; act. 16/9/8; act. 16/9/12; act. 16/12; act. 16/26; act. 16/28/5; act. 16/29-38; act. 16/41/11; act. 16/41/17-19; act. 16/42/11; Act. 16/42/14/17; act. 16/48-51 • act. 17-23 • act. 26-28</w:t>
      </w:r>
    </w:p>
    <w:p>
      <w:r>
        <w:rPr>
          <w:b/>
        </w:rPr>
        <w:t>E. 3</w:t>
      </w:r>
    </w:p>
    <w:p>
      <w:r>
        <w:t>Eventualiter sei die Akteneinsicht der Privatklägerin nur nach teilweiser Unkenntlichmachung dieser in Ziff. 1 genannten Dokumente zu gewäh- ren.</w:t>
      </w:r>
    </w:p>
    <w:p>
      <w:r>
        <w:rPr>
          <w:b/>
        </w:rPr>
        <w:t>E. 4</w:t>
      </w:r>
    </w:p>
    <w:p>
      <w:r>
        <w:t>Subeventualiter sei die Verfügung in den beanstandeten Punkten zur neuen Entscheidung an die Vorinstanz zurückzuweisen.</w:t>
      </w:r>
    </w:p>
    <w:p>
      <w:r>
        <w:rPr>
          <w:b/>
        </w:rPr>
        <w:t>E. 5</w:t>
      </w:r>
    </w:p>
    <w:p>
      <w:r>
        <w:t>Unter Kosten- und Entschädigungsfolgen zu Lasten der Privatklägerin oder der Staatskasse. Zugleich stellt A._____ den Antrag, der Beschwerde sei die aufschiebende Wir- kung zu erteilen. In der Verfügung vom 8. Februar 2013 erwog die Verfahrensleitung des Oberge- richts, gemäss der Staatsanwaltschaft sei der Privatklägerin die Einsicht in die fraglichen Akten am 31. Januar 2013 gewährt worden, weshalb sich die Frage der aufschiebenden Wirkung nicht mehr stelle (Urk. 6). Am 15. Februar 2013 bestätigte die B._____ AG, dass sie Einsicht in die fragli- chen Akten gehabt habe. Gleichzeitig verzichtete sie auf eine Stellungnahme zur Beschwerde (Urk. 8). Die Staatsanwaltschaft hat sich vernehmen lassen (Urk. 9). Sie beantragt die Ab- weisung der Beschwerde, soweit darauf einzutreten sei.</w:t>
      </w:r>
    </w:p>
    <w:p>
      <w:r>
        <w:t>- 4 - In der Replik vom 4. März 2013 stellt A._____ folgende Rechtsbegehren (Urk.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