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UH110175 vom 27. Januar 2012</w:t>
      </w:r>
    </w:p>
    <w:p>
      <w:r>
        <w:t>ZH Obergericht, 2012-01-27, DE</w:t>
      </w:r>
    </w:p>
    <w:p>
      <w:r>
        <w:rPr>
          <w:b/>
        </w:rPr>
        <w:t xml:space="preserve">Quelle: </w:t>
      </w:r>
      <w:r>
        <w:t>https://mcp.opencaselaw.ch/entscheid/zh_obergericht_UH110175</w:t>
      </w:r>
    </w:p>
    <w:p>
      <w:r>
        <w:t>FR: ZH_OBERGERICHT UH110175 du 27 janvier 2012</w:t>
      </w:r>
    </w:p>
    <w:p>
      <w:r>
        <w:t>IT: ZH_OBERGERICHT UH110175 del 27 gennaio 2012</w:t>
      </w:r>
    </w:p>
    <w:p>
      <w:pPr>
        <w:pStyle w:val="Heading2"/>
      </w:pPr>
      <w:r>
        <w:t>Erwägungen</w:t>
      </w:r>
    </w:p>
    <w:p>
      <w:r>
        <w:rPr>
          <w:b/>
        </w:rPr>
        <w:t>E. 1</w:t>
      </w:r>
    </w:p>
    <w:p>
      <w:r>
        <w:t>Am 15. Juni 2007 erhob A._____ gegen B._____ Anklage wegen Ehrverlet- zung. Mit Verfügung des Bezirksgerichts Zürich, Einzelgericht (nachfolgend: Vo- rinstanz) vom 11. Mai 2011 wurde die Anklage definitiv nicht zugelassen aufgrund Eintritts der Verfolgungsverjährung. Die Kosten wurden dem Ankläger auferlegt und dieser wurde verpflichtet, dem Beschuldigten eine Prozessentschädigung von Fr. 13'564.-- (inkl. MwSt) zu bezahlen (Urk. 3).</w:t>
      </w:r>
    </w:p>
    <w:p>
      <w:r>
        <w:rPr>
          <w:b/>
        </w:rPr>
        <w:t>E. 2</w:t>
      </w:r>
    </w:p>
    <w:p>
      <w:r>
        <w:t>Die Verfahrenskosten seien vollumfänglich dem Beschwerdegegner aufzuerlegen.</w:t>
      </w:r>
    </w:p>
    <w:p>
      <w:r>
        <w:rPr>
          <w:b/>
        </w:rPr>
        <w:t>E. 3</w:t>
      </w:r>
    </w:p>
    <w:p>
      <w:r>
        <w:t>Der Beschwerdegegner sei zu verpflichten, dem Beschwerdeführer dessen Parteikosten in Höhe von CHF 30'416.45 (zuzüglich CHF 442 an Weisungskosten) zu bezahlen.</w:t>
      </w:r>
    </w:p>
    <w:p>
      <w:r>
        <w:rPr>
          <w:b/>
        </w:rPr>
        <w:t>E. 4</w:t>
      </w:r>
    </w:p>
    <w:p>
      <w:r>
        <w:t>Am 15. August 2011 nahm der Beschwerdeführer replicando Stellung (Urk. 15). Die Replik wurde dem Beschwerdegegner mit Verfügung vom 18. August 2011 zur freigestellten Duplik zugestellt (Urk. 18). Die Duplik wurde am 19. August 2011 erstattet (Urk. 20), welche mit Verfügung vom 30. August 2011 dem Be- schwerdeführer zur Kenntnis übermittelt wurde (Urk. 23).</w:t>
      </w:r>
    </w:p>
    <w:p>
      <w:r>
        <w:rPr>
          <w:b/>
        </w:rPr>
        <w:t>E. 5</w:t>
      </w:r>
    </w:p>
    <w:p>
      <w:r>
        <w:t>Mit Eingabe vom 30. August 2011 stellte der Beschwerdeführer den Antrag, "Der Beschwerde vom 27. Juni 2011 sei für die Dauer des vorliegenden Be- schwerdeverfahrens die aufschiebenden Wirkung zu erteilen" (Urk. 25). Mit Ver- fügung der hiesigen Kammer vom 2. September 2011 wurde der Beschwerde be- züglich der Kostenauflage und Verpflichtung zur Zahlung einer Entschädigung zu- lasten des Beschwerdeführers aufschiebende Wirkung erteilt (Urk. 27).</w:t>
      </w:r>
    </w:p>
    <w:p>
      <w:r>
        <w:rPr>
          <w:b/>
        </w:rPr>
        <w:t>E. 6</w:t>
      </w:r>
    </w:p>
    <w:p>
      <w:r>
        <w:t>Das Verfahren erweist sich demgemäss als spruchreif. II.</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