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UE250421 vom 6. Februar 2026</w:t>
      </w:r>
    </w:p>
    <w:p>
      <w:r>
        <w:t>ZH Obergericht, 2026-02-06, DE</w:t>
      </w:r>
    </w:p>
    <w:p>
      <w:r>
        <w:rPr>
          <w:b/>
        </w:rPr>
        <w:t xml:space="preserve">Quelle: </w:t>
      </w:r>
      <w:r>
        <w:t>https://mcp.opencaselaw.ch/entscheid/zh_obergericht_UE250421</w:t>
      </w:r>
    </w:p>
    <w:p>
      <w:r>
        <w:t>FR: ZH_OBERGERICHT UE250421 du 6 février 2026</w:t>
      </w:r>
    </w:p>
    <w:p>
      <w:r>
        <w:t>IT: ZH_OBERGERICHT UE250421 del 6 febbraio 2026</w:t>
      </w:r>
    </w:p>
    <w:p>
      <w:pPr>
        <w:pStyle w:val="Heading2"/>
      </w:pPr>
      <w:r>
        <w:t>Erwägungen</w:t>
      </w:r>
    </w:p>
    <w:p>
      <w:r>
        <w:rPr>
          <w:b/>
        </w:rPr>
        <w:t>E. 1</w:t>
      </w:r>
    </w:p>
    <w:p>
      <w:r>
        <w:t>Am 20. November 2024, ca. 13.00 Uhr, lenkte B._____ (Beschwerdegegner) sei- nen Personenwagen VW Caddy mit Kennzeichen ZH 1 aus der Tiefgarage an der C._____-strasse 2 in D._____. Auf dem Trottoir unmittelbar nach der Garagenaus- fahrt kollidierte er mit dem von rechts kommenden A._____ (Beschwerdeführer), der ein E-Trottinett fuhr (Urk. 14/3/1). Am 22. September 2025 stellte die Staatsan- waltschaft Winterthur/Unterland (Staatsanwaltschaft) die Strafuntersuchung gegen den Beschwerdegegner wegen fahrlässiger Körperverletzung ein (Urk. 5).</w:t>
      </w:r>
    </w:p>
    <w:p>
      <w:r>
        <w:rPr>
          <w:b/>
        </w:rPr>
        <w:t>E. 2</w:t>
      </w:r>
    </w:p>
    <w:p>
      <w:r>
        <w:t>Die Staatsanwaltschaft Winterthur/Unterland sei anzuweisen, das Strafver- fahren durchzuführen und Anklage zu erheben.</w:t>
      </w:r>
    </w:p>
    <w:p>
      <w:r>
        <w:rPr>
          <w:b/>
        </w:rPr>
        <w:t>E. 3</w:t>
      </w:r>
    </w:p>
    <w:p>
      <w:r>
        <w:t>Die Verfahrenskosten seien auf die Staatskasse zu nehmen.</w:t>
      </w:r>
    </w:p>
    <w:p>
      <w:r>
        <w:rPr>
          <w:b/>
        </w:rPr>
        <w:t>E. 4</w:t>
      </w:r>
    </w:p>
    <w:p>
      <w:r>
        <w:t>Der ärztliche Bericht vom 31. Januar 2025 diagnostizierte beim Beschwerdefüh- rer eine teilweise dislozierte multiple Rippenfraktur (Urk. 14/3/10). Es stellt sich die Frage, ob die Staatsanwaltschaft zu Recht davon ausgegangen ist, dass trotz die- ser festgestellten Verletzung kein hinreichender Tatverdacht wegen fahrlässiger Körperverletzung besteht, der eine Anklage gegen den Beschwerdegegner verlan- gen würde.</w:t>
      </w:r>
    </w:p>
    <w:p>
      <w:r>
        <w:rPr>
          <w:b/>
        </w:rPr>
        <w:t>E. 5</w:t>
      </w:r>
    </w:p>
    <w:p>
      <w:r>
        <w:t>Gemäss Art. 125 StGB wird bestraft, wer fahrlässig einen Menschen am Körper oder an der Gesundheit schädigt.</w:t>
      </w:r>
    </w:p>
    <w:p>
      <w:r>
        <w:rPr>
          <w:b/>
        </w:rPr>
        <w:t>E. 6</w:t>
      </w:r>
    </w:p>
    <w:p>
      <w:r>
        <w:t>Die Verursachung der Rippenfraktur beim Beschwerdeführer durch den Be- schwerdegegner lässt sich nicht nachweisen. Am Kollisionstag, dem 20. November 2024, hat die computertomographische (wie auch die laborchemische und sono- graphische) ärztliche Untersuchung des Beschwerdeführers im Stadtspital Zürich Waid keine Knochenfrakturen oder sonstigen ossären Traumafolgen ergeben (Urk. 14/3/9). Auch die drei Wochen nach dem Verkehrsunfall durchgeführte Rönt- genuntersuchung bei seinem damaligen Hausarzt konnte offensichtlich keine Rip- penfraktur nachweisen (vgl. Urk. 2 Rz 12 und Urk. 5 S. 2). Erst in der Untersuchung vom 31. Januar 2025, mehr als zwei Monate nach dem Unfall, zeigten die Rönt- genaufnahmen eine «nicht dislozierte, konsolidierte Fraktur der fünften Rippe links ventral sowie teilweise um eine halbe Schaftbreite dislozierte Frakturen der neun- ten bis elften Rippe links dorsal bis dorsolateral» (Urk. 14/3/10). Die wiederholte Nichtdiagnose von Rippenfrakturen legt eine Drittverursachung der Verletzung nahe. Dies zumal die entsprechenden Untersuchungen zeitnah zur Verkehrskolli- sion durchgeführt wurden und die Computertomographie gegenüber der Röntgen- untersuchung die genauere Diagnostikmethode zur Erkennung von Rippenfraktu- ren ist. Jedenfalls kann aufgrund der zweimonatigen Verzögerung bis zur anders- lautenden Diagnose eine Drittursache nicht ausgeschlossen werden, weshalb un- überwindbare Zweifel am Kausalzusammenhang bestehen. Eine Verurteilung</w:t>
      </w:r>
    </w:p>
    <w:p>
      <w:r>
        <w:t>- 6 - scheitert demnach bereits an der fehlenden praktischen Beweisbarkeit der Verur- sachung der Verletzung durch den Beschwerdegegner. Ein gerichtlicher Freispruch des Beschwerdegegners wäre klar absehbar. Entgegen der Auffassung des Be- schwerdeführers vermögen dessen geltend gemachten anhaltende Schmerzen so- wie seine Reaktion nach der Kollision keine ernsthaften Zweifel an der Beweis- oder Rechtslage zu begründen. Mit der Verneinung des Kausalzusammenhangs masst sich die Staatsanwaltschaft keine Kompetenzen an, sondern folgt der medi- zinischen Meinung, der diagnostisch präzisere Mittel zur Verfügung standen.</w:t>
      </w:r>
    </w:p>
    <w:p>
      <w:r>
        <w:rPr>
          <w:b/>
        </w:rPr>
        <w:t>E. 7</w:t>
      </w:r>
    </w:p>
    <w:p>
      <w:r>
        <w:t>Nicht abschliessend zu beurteilen ist an dieser Stelle, ob der Beschwerdegegner seine Sorgfaltspflicht im Strassenverkehr verletzt hat. Ist der Kausalzusammen- hang nicht nachweisbar, entfällt eine Bestrafung des Beschwerdegegners nach Art. 125 StGB, unabhängig davon, ob er den Beschwerdeführer beim Einmünden aus der Tiefgarage übersehen und dadurch seine Sorgfaltspflicht verletzt hat. Die Parteivorbringen zu den dazu widersprüchlichen Parteiaussagen sowie zum Selbstverschulden des Beschwerdeführers sind folglich gleichermassen unbehel- flich. Jedenfalls lassen die Umstände der Verkehrskollision für sich allein nicht auf eine Sorgfaltspflichtverletzung des Beschwerdegegners schliessen.</w:t>
      </w:r>
    </w:p>
    <w:p>
      <w:r>
        <w:rPr>
          <w:b/>
        </w:rPr>
        <w:t>E. 8</w:t>
      </w:r>
    </w:p>
    <w:p>
      <w:r>
        <w:t>Unter Einbezug der gesamten Umstände erschiene eine Verurteilung des Be- schwerdegegners von vornherein als unwahrscheinlich. Das Strafverfahren wurde zu Recht eingestellt, da kein Tatverdacht erhärtet ist, der eine Anklage rechtfertigt (Art. 319 Abs. 1 lit. a StPO). Die Beschwerde ist abzuweisen. III. Angesichts der Bedeutung und Schwierigkeit des Falls sowie des Zeitaufwands des Gerichts ist die Gerichtsgebühr für das Beschwerdeverfahren auf Fr. 900.– festzu- setzen (§ 17 Abs. 1 und § 2 Abs. 1 lit. b – d GebV OG). Ausgangsgemäss sind die Kosten des Beschwerdeverfahrens dem Beschwerdeführer aufzuerlegen (Art. 428 Abs. 1 StPO) und vorab aus der geleisteten Prozesskaution von Fr. 1'800.– zu be- ziehen. Der Restbetrag der Kaution ist dem Beschwerdeführer unter Vorbehalt all- fälliger Verrechnungsansprüche des Staates nach Eintritt der Rechtskraft zurück- zuerstatten. Entschädigungen sind keine auszurichten.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