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UE250298 vom 27. November 2025</w:t>
      </w:r>
    </w:p>
    <w:p>
      <w:r>
        <w:t>ZH Obergericht, 2025-11-27, DE</w:t>
      </w:r>
    </w:p>
    <w:p>
      <w:r>
        <w:rPr>
          <w:b/>
        </w:rPr>
        <w:t xml:space="preserve">Quelle: </w:t>
      </w:r>
      <w:r>
        <w:t>https://mcp.opencaselaw.ch/entscheid/zh_obergericht_UE250298</w:t>
      </w:r>
    </w:p>
    <w:p>
      <w:r>
        <w:t>FR: ZH_OBERGERICHT UE250298 du 27 novembre 2025</w:t>
      </w:r>
    </w:p>
    <w:p>
      <w:r>
        <w:t>IT: ZH_OBERGERICHT UE250298 del 27 novembre 2025</w:t>
      </w:r>
    </w:p>
    <w:p>
      <w:pPr>
        <w:pStyle w:val="Heading2"/>
      </w:pPr>
      <w:r>
        <w:t>Erwägungen</w:t>
      </w:r>
    </w:p>
    <w:p>
      <w:r>
        <w:rPr>
          <w:b/>
        </w:rPr>
        <w:t>E. 1</w:t>
      </w:r>
    </w:p>
    <w:p>
      <w:r>
        <w:t>Mit Eingabe vom 2. Juni 2025 liess A._____ (nachfolgend: Beschwerdeführer) durch seinen Rechtsvertreter bei der Staatsanwaltschaft III des Kantons Zürich (nachfolgend: Staatsanwaltschaft) Strafanzeige erstatten gegen B._____ (nachfol- gend: Beschwerdegegner 1) wegen Betruges etc. Gemäss Strafanzeige habe der Beschwerdeführer auf Anraten und Drängen des Beschwerdegegners 1, zu wel- chem nicht nur ein professionelles Anlageberatungsverhältnis, sondern zufolge langjähriger Freundschaft auch ein Vertrauensverhältnis bestanden habe, über ei- nen Zeitraum von mehr als zehn Jahren rund Fr. 3'750'500.– in die C._____ AG und deren Vorgängergesellschaften investiert. Der Beschwerdegegner 1 soll dabei mutmasslich als Vermittler der D._____ AG in Zürich und als Organ dieser Gesell- schaft auch Einsitz in zahlreiche Verwaltungsräte der vermittelten Portfoliogesell- schaften genommen haben. Die 2011 gegründete C._____ AG war auf die Entwick- lung, Herstellung und den Betrieb von unbemannten Luftfahrtsystemen (Drohnen) spezialisiert und hielt zusammen mit dem E._____ AG die F._____ AG mit Sitz in … [Ortschaft]. Letztere entwickelte offenbar mehrere Prototypen solcher Drohnen, die für militärische und zivile Angelegenheiten geeignet sein sollten. Der Beschwer- degegner 1 soll bei der C._____ AG und der F._____ AG Vizepräsident des Ver- waltungsrates bzw. Verwaltungsratsmitglied gewesen sein und den Beschwerde- führer im Zusammenhang mit dessen Investitionen durch Falschinformationen über den Fortschritt der Drohnenentwicklung bei der F._____ AG und zu konkreten Be- schaffungsgesprächen mit zahlreichen maritimen Streifkräften, unter anderem der deutschen Bundeswehr, sowie durch Verschweigen der wirtschaftlichen Schieflage und wesentlicher Entwicklungen im Geschäft dazu gebracht haben, immer weiter zu investieren, obschon die Investitionen wertlos gewesen seien. Dabei stand ab dem Jahre 2020 offenbar auch der Verkauf der Beteiligung an der F._____ AG an die G._____ [Unternehmen] ("Exit") im Raum. Letztlich haben diese Investitionen gemäss Beschwerdeführer zu einem fast vollständigen Kapitalverlust geführt (Urk. 11/20101001 ff.).</w:t>
      </w:r>
    </w:p>
    <w:p>
      <w:r>
        <w:t>- 3 -</w:t>
      </w:r>
    </w:p>
    <w:p>
      <w:r>
        <w:rPr>
          <w:b/>
        </w:rPr>
        <w:t>E. 2</w:t>
      </w:r>
    </w:p>
    <w:p>
      <w:r>
        <w:t>Mit Verfügung vom 27. Juni 2025 nahm die Staatsanwaltschaft eine Strafun- tersuchung gegen den Beschwerdegegner 1 nicht an die Hand (Urk. 3/1).</w:t>
      </w:r>
    </w:p>
    <w:p>
      <w:r>
        <w:rPr>
          <w:b/>
        </w:rPr>
        <w:t>E. 3</w:t>
      </w:r>
    </w:p>
    <w:p>
      <w:r>
        <w:t>Dagegen liess der Beschwerdeführer mit Eingabe vom 18. Juli 2025 fristge- recht Beschwerde erheben mit den Anträgen, die angefochtene Verfügung sei auf- zuheben und die Staatsanwaltschaft sei anzuweisen, eine Strafuntersuchung ge- gen den Beschwerdegegner 1 zu eröffnen; unter Kosten- und Entschädigungsfol- gen zuzüglich Mehrwertsteuer zulasten der Staatskasse (Urk. 2).</w:t>
      </w:r>
    </w:p>
    <w:p>
      <w:r>
        <w:rPr>
          <w:b/>
        </w:rPr>
        <w:t>E. 4</w:t>
      </w:r>
    </w:p>
    <w:p>
      <w:r>
        <w:t>Der Beschwerdegegner 1 lässt vorbringen, der Beschwerdeführer versuche, sich als "Laie" mit "Laienoptik" darzustellen. Dies sei unzutreffend. Er verschweige seinen beruflichen Hintergrund und sein damit verbundenes Wissen, habe er doch diverse Geschäftsleitungs-, Verwaltungsrats- und Mitgründerpositionen bekleidet. Mit anderen Worten sei er professioneller Investor, Vermögensverwalter und Anla- geberater. Er kenne auch die mit Investitionen verbundenen Risiken. Zudem sei es ausgeschlossen, dass ausgerechnet er nicht wisse, dass "schriftliche Formalitäten" bei Transaktionen im Geschäftsleben zwingend notwendig seien, immer ausgehan- delt und ausgefertigt würden und ein "Deal" vor dessen Unterzeichnung – wie vor- liegend – jederzeit scheitern könne. Die Transaktion betreffend den Verkauf der F._____ AG an G._____ sei weit fortgeschritten gewesen und am Ende leider ge-</w:t>
      </w:r>
    </w:p>
    <w:p>
      <w:r>
        <w:t>- 10 - scheitert. So könne die Realität im Geschäftsleben sein, was auch der Beschwer- deführer gewusst habe. Gleichzeitig versuche dieser, ihn (den Beschwerdegeg- ner 1) zu Unrecht als seinen Anlageberater und Vermögensverwalter darzustellen. Er sei Angestellter der D._____ AG, in welcher Funktion es seine Aufgabe sei, Ka- pital für zu finanzierende Gesellschaften zu finden. Er habe den Beschwerdeführer nie zu Entscheiden bzw. Investitionen gedrängt. Im Gegenteil: Der Beschwerdefüh- rer, ein professioneller Investor, habe sämtliche Entscheidungen aus eigenem, freiem Willen getroffen. Dieser sei vom Verwaltungsrat der C._____ AG stets zeit- nah und entsprechend den verfügbaren Informationen und Tatsachen informiert worden. Die Aktionäre hätten sämtliche Fragen direkt an den Verwaltungsrat sowie den CEO der F._____ AG richten können, welche alle Fragen beantwortet hätten. Den Beschlüssen sei in der Generalversammlung stets mit grosser Mehrheit zuge- stimmt worden, so auch dem "Earn-Out" der C._____ AG mit der E._____ AG. Letz- tere habe seither unzählige weitere Millionen in das Projekt investiert. Soweit er Aktionäre informiert habe, sei dies jederzeit auf Basis der verfügbaren Informatio- nen und Tatsachen sowie nach bestem Wissen und Gewissen geschehen. Er habe mit Sicherheit keine unwahren Angaben gemacht oder (falsche) Zusicherungen ab- gegeben. Zahlreiche Angaben des Beschwerdeführers seien unzutreffend, so bspw., dass er diesem gesagt haben solle, ein "Exit sei in Stein gemeisselt" bzw. "definitiv" und es sei "von einem Kaufpreis von mind. Fr. 5.–/Aktie auszugehen." Er habe den Beschwerdeführer weder arglistig getäuscht noch dies beabsichtigt (Urk. 17).</w:t>
      </w:r>
    </w:p>
    <w:p>
      <w:r>
        <w:rPr>
          <w:b/>
        </w:rPr>
        <w:t>E. 5</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w:t>
      </w:r>
    </w:p>
    <w:p>
      <w:r>
        <w:t>- 11 - Straftat ergibt (Urteile des Bundesgerichts 6B_830/2013 vom 10. Dezember 2013 E. 1.4; 6B_560/2014 vom 3. November 2014 E. 2.4.1; 6B_718/2014 vom 10. De- zember 2014 E. 1.3.1). Bei der Beurteilung der Frage, ob ein sachverhaltsmässig und rechtlich klarer Fall vorliegt, der nicht an die Hand zu nehmen ist, verfügt die Staatsanwaltschaft über einen gewissen Ermessensspielraum (Urteile des Bundes- gerichts 6B_472/2020 vom 13. Juli 2021 E. 2.2.3; 6B_553/2019 vom 6. November 2019 E. 3.1). Im Zweifelsfall ist eine Untersuchung zu eröffnen (BGE 137 IV 285 E. 2.3).</w:t>
      </w:r>
    </w:p>
    <w:p>
      <w:r>
        <w:rPr>
          <w:b/>
        </w:rPr>
        <w:t>E. 6</w:t>
      </w:r>
    </w:p>
    <w:p>
      <w:r>
        <w:t>Gemäss Art. 146 Abs. 1 StGB macht sich wegen Betrugs strafbar, wer in der Absicht,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 auf gerichtet ist, bei einem andern eine von der Wirklichkeit abweichende Vorstel- lung hervorzurufen. Sie ist eine unrichtige Erklärung über Tatsachen, d.h. über ob- 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Überzeugung ent- sprechen. Prognosen können aber in Bezug auf die vom Täter zugrunde gelegten gegenwärtigen Verhältnisse (Prognosegrundlage) eine Täuschung darstellen. Massgebend ist, ob die Äusserung ihrem objektiven Sinn nach einen Tatsachen- kern enthält. Äusserungen oder Prognosen über künftige Vorgänge können zu ei- ner Täuschung führen, wenn sie innere Tatsachen wiedergeben. Die Zukunftser- wartung kann mithin als gegenwärtige innere Tatsache täuschungsrelevant sein (BGE 135 IV 76 E. 5.1; vgl. auch BGE 119 IV 210 E. 3b). Die Erfüllung des Be- trugstatbestands erfordert eine arglistige Täuschung. Betrügerisches Verhalten ist strafrechtlich erst relevant, wenn der Täter mit einer gewissen Raffinesse oder Durchtriebenheit täuscht. Einfache Lügen, plumpe Tricks oder leicht überprüfbare falsche Angaben genügen nicht (BGE 143 IV 302 E. 1.3.1; 135 IV 76 E. 5.2). Dem Merkmal der Arglist kommt mithin die Funktion zu, legitimes Gewinnstreben durch</w:t>
      </w:r>
    </w:p>
    <w:p>
      <w:r>
        <w:t>- 12 - Ausnutzung von Informationsvorsprüngen von der strafrechtlich relevanten verbo- tenen Täuschung abzugrenzen und den Betrugstatbestand insoweit einzuschrän- ken. Diese Eingrenzung geschieht zum einen durch das Erfordernis einer qualifi- zierten Täuschungshandlung. Arglist wird bejaht, wenn der Täter ein ganzes Lü- gengebäude errichtet oder sich besonderer Machenschaften oder Kniffe bedient. Ein Lügengebäude liegt vor, wenn mehrere Lügen derart raffiniert aufeinander ab- gestimmt sind und von besonderer Hinterhältigkeit zeugen, dass sich selbst ein kritisches Opfer täuschen lässt. Als besondere Machenschaften (manoeuvres frau- duleuses) gelten Erfindungen und Vorkehren sowie das Ausnützen von Begeben- heiten, die allein oder gestützt durch Lügen oder Kniffe geeignet sind, das Opfer irrezuführen.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(BGE 143 IV 302 E. 1.3.1 und E. 1.3.3; 135 IV 76 E. 5.2). Zum andern erfolgt die Eingrenzung über die Berücksichtigung der Eigenver- antwortlichkeit des Opfers. Danach ist zu prüfen, ob das Opfer den Irrtum bei Inan- spruchnahme der ihm zur Verfügung stehenden Selbstschutzmöglichkeiten hätte vermeiden können. Bei der Berücksichtigung der Opfermitverantwortung ist aller- dings nicht aufgrund einer rein objektiven Betrachtungsweise darauf abzustellen, wie ein durchschnittlich vorsichtiger und erfahrener Dritter auf die Täuschung rea- giert hätte. Das Mass der vom Opfer erwarteten Aufmerksamkeit richtet sich viel- mehr nach einem individuellen Massstab. Es kommt auf die Lage und Schutzbe- dürftigkeit des Betroffenen im Einzelfall an. Auch unter dem Gesichtspunkt der wirt- 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das Opfer die grundlegendsten Vorsichtsmass-</w:t>
      </w:r>
    </w:p>
    <w:p>
      <w:r>
        <w:t>- 13 - nahmen nicht beachtet (BGE 143 IV 302 E. 1.4.1; 135 IV 76 E. 5.2; vgl. auch BGE 142 IV 153 E. 2.2.2).</w:t>
      </w:r>
    </w:p>
    <w:p>
      <w:r>
        <w:rPr>
          <w:b/>
        </w:rPr>
        <w:t>E. 7</w:t>
      </w:r>
    </w:p>
    <w:p>
      <w:r>
        <w:t>Der Beschwerdeführer wendet sich im Beschwerdeverfahren einzig gegen die Feststellungen der Staatsanwaltschaft zu angeblichen Falschaussagen des Be- schwerdegegners 1 betreffend die Verhandlungen zum "Exit" bzw. den Verkauf der Aktien der C._____ AG an G._____. Hingegen äussert er sich nicht zu dessen an- geblich falschen Zusicherungen betreffend den Absturz einer Drohne der F._____ AG sowie zu angeblich falschen Angaben im Status-Rapport der F._____ AG vom 5. März 2022. Mithin legt er nicht dar, inwiefern die diesbezüglichen Erwägungen der Staatsanwaltschaft unzutreffend sein sollten. Darauf ist somit im Folgenden nicht weiter einzugehen.</w:t>
      </w:r>
    </w:p>
    <w:p>
      <w:r>
        <w:rPr>
          <w:b/>
        </w:rPr>
        <w:t>E. 8.1</w:t>
      </w:r>
    </w:p>
    <w:p>
      <w:r>
        <w:t>Der Beschwerdegegner 1 ist wie erwähnt bei der D._____ AG tätig und nahm Einsitz in den Verwaltungsrat der C._____ AG sowie der F._____ AG. Zwischen ihm und dem Beschwerdeführer bestand offenbar eine langjährige Freundschaft und ein Vertrauensverhältnis, nicht zuletzt deshalb, weil sie beide derselben Frei- kirche angehören, wobei der Beschwerdegegner 1 offenbar als Priester tätig ist (vgl. Urk. 11/20101004). Es stellt sich die Frage nach der strafrechtlichen Verant- wortlichkeit des Beschwerdegegners 1 für die eingetretenen Verluste des Be- schwerdeführers. Letzterer wirft dem Beschwerdegegner 1 die Vertuschung der wirtschaftlichen Schieflage der F._____ AG sowie falsche Angaben hinsichtlich ei- ner geplanten Übernahme von deren Aktien durch G._____ vor, um den Beschwer- deführer dazu zu bringen, weitere Investitionen in die F._____ AG zu tätigen.</w:t>
      </w:r>
    </w:p>
    <w:p>
      <w:r>
        <w:rPr>
          <w:b/>
        </w:rPr>
        <w:t>E. 8.2</w:t>
      </w:r>
    </w:p>
    <w:p>
      <w:r>
        <w:t>Der Beschwerdeführer liess zunächst ausführen, er sei bezüglich der in Frage stehenden Investitionen ein Laie mit einer "Laienoptik", der sich auf die Zusiche- rungen des Beschwerdegegners 1 habe verlassen dürfen (Urk. 2 Rz. 9)., Auf den Einwand des Beschwerdegegners 1, er habe in seiner beruflichen Laufbahn di- verse Geschäftsleitungs-, Verwaltungsrats- und Mitgründerpositionen bekleidet; er sei professioneller Investor, Vermögensverwalter und Anlageberater und kenne die mit Investitionen verbundenen Risiken (Urk. 17 Rz. 1), räumte der Beschwerdefüh- rer in seiner Replik ein, dass er im Anlage- und Vermögensverwaltungsbereich tätig</w:t>
      </w:r>
    </w:p>
    <w:p>
      <w:r>
        <w:t>- 14 - gewesen sei und ihm die Risiken im Private Equity-Bereich bekannt gewesen seien (Urk. 23 Rz. 7). Die vorstehenden Ausführungen machen deutlich, dass der Beschwerdefüh- rer keineswegs ein Laie auf dem Gebiet der Finanzanlagen bzw. so unwissend und unerfahren war, wie er dies zunächst darstellte. Vielmehr verfügt er offenkundig über einschlägige Erfahrungen mit Risiken im Bereich Private Equity-Investitionen und damit über Sachkenntnisse auf dem Gebiet der in Frage stehenden Finanz- transaktionen. Mithin kann er im vorliegenden Kontext offensichtlich nicht als Laie eingestuft werden, weshalb von erhöhten Anforderungen an seine Selbstverant- wortung auszugehen und eine besondere Schutzbedürftigkeit im Kontext mit den getätigten Investitionen nicht ersichtlich ist. Dass zum Beschwerdegegner 1 offen- bar ein langjähriges Vertrauensverhältnis bestand und er diesem fast blind ver- traute, ändert daran nichts. Unter den dargelegten Umständen darf sodann ohne Weiteres davon ausgegangen werden, dass sich der Beschwerdeführer auch der Verlustrisiken bei den von ihm getätigten Investitionsgeschäften in der Höhe von mehr als Fr. 3 Mio. bewusst war, was er im Übrigen nicht in Abrede stellt.</w:t>
      </w:r>
    </w:p>
    <w:p>
      <w:r>
        <w:rPr>
          <w:b/>
        </w:rPr>
        <w:t>E. 8.3</w:t>
      </w:r>
    </w:p>
    <w:p>
      <w:r>
        <w:t>Der Beschwerdeführer moniert, der Beschwerdegegner 1 habe ihm mit Bezug auf den geplanten Verkauf der Aktien der C._____AG an G._____ falsche Zusiche- rungen gemacht. Auf diese Weise habe er ihn dazu gebracht, im Mai 2023 eine letzte Investition in der Höhe von Fr. 263'000.– zu tätigen, zu welchem Zweck er im Namen und unter Beizug seiner Ehefrau einen Lombardkredit aufgenommen habe (Urk. 2 Rz. 4). Konkret habe der Beschwerdegegner 1 wahrheitswidrig den Ein- druck erweckt, dass der Aktienverkauf an Airbus bereits unumstösslich feststehe. In diesem Zusammenhang wies die Staatsanwaltschaft in der angefochtenen Ver- fügung zu Recht darauf hin, dass der Beschwerdegegner 1 zwar die vom Be- schwerdeführer beanstandeten Versprechen abgegeben haben soll, man sei "in unmittelbaren und weit fortgeschrittenen Kaufverhandlungen", der Exit mit G._____ sei "nur eine Frage der Zeit" und "so gut wie in trockenen Tüchern" bzw. "in Stein gemeisselt". Eine schriftliche Vereinbarung über diesen Aktienverkauf war indes noch nicht abgeschlossen worden, von welchem Umstand der Beschwerdeführer Kenntnis gehabt habe. Dass der Beschwerdegegner 1 behauptet hätte, das Ge-</w:t>
      </w:r>
    </w:p>
    <w:p>
      <w:r>
        <w:t>- 15 - schäft sei bereits schriftlich vereinbart worden bzw. unter Dach und Fach, macht weder der Beschwerdeführer geltend noch ergibt sich dies aus den Akten. Der im Anlage- und Vermögensverwaltungsbereich tätige Beschwerdeführer mit Erfahrung im Umgang mit Private Equity-Transaktionen musste sich darüber im Klaren sein, dass mit Bezug auf eine geplante Transaktion, hinsichtlich welcher noch keine schriftliche und damit verbindliche Vereinbarung besteht, sondern die Vertragsverhandlungen noch laufen, bis zuletzt das Risiko besteht, dass diese scheitern bzw. sich das Gegenüber aus den Vertragsverhandlungen zurückziehen könnte. Es darf als notorisch bezeichnet werden, dass schriftliche Formalitäten im Geschäftsleben üblich und unumgänglich sind, insbesondere bei Transaktionen mit erheblicher finanzieller Tragweite wie vorliegend. Entsprechend durfte der Be- schwerdeführer bis zum schriftlichen Vertragsabschluss über den Verkauf der Ak- tien der F._____ AG an die G._____ nicht darauf vertrauen, dass bereits ein ver- bindlicher Konsens hinsichtlich sämtlicher relevanter Aspekte, wozu selbstredend auch ein allfälliger Aktienverkaufspreis gehört, bestand. Mithin musste ihm klar sein, dass eben gerade noch keine Gewissheit darüber bestand, wie die Zukunft aussehen würde bzw. ob der beabsichtigte Aktienverkauf an G._____ tatsächlich zustande kommen würde. Dies gilt umso mehr, als der Beschwerdegegner 1 dem Beschwerdeführer bereits seit mehreren Jahren geradezu "mantraartig" den Exit mit G._____ vorgetragen haben soll (vgl. Urk. 11/20101007), ohne dass sich dieses Szenario in der Folge (bis zur letzten Investition des Beschwerdeführers im Mai 2023) je realisiert hätte. Die Argumentation des Beschwerdeführers, wonach die Aussage, es müssten nur noch "schriftliche Formalitäten" erledigt werden, sich für einen Laien zweifellos danach angehört habe, als wäre (im Minimum) ein mündli- cher Vertrag geschlossen worden, welcher bloss noch verschriftlicht werden müsse, ist unbehelflich, zumal er wie erwähnt kein Laie auf dem betreffenden Ge- biet war. Es ist nach dem Gesagten nicht ersichtlich, inwiefern der Beschwerdegeg- ner 1 den Beschwerdeführer in strafbarer Weise über den Stand der Vertragsver- handlungen getäuscht haben sollte. Die von diesem angeblich getätigten Aussa- gen, wonach die Kaufverhandlungen weit fortgeschritten und der Verkauf so gut</w:t>
      </w:r>
    </w:p>
    <w:p>
      <w:r>
        <w:t>- 16 - wie sicher seien, vermögen nicht darüber hinwegzutäuschen, dass unstrittig noch keine schriftliche Vereinbarung mit G._____ erzielt worden war, von welchem Um- stand der Beschwerdeführer Kenntnis hatte. Im Übrigen konnte selbstredend auch der Beschwerdegegner 1 nicht mit Sicherheit voraussehen, ob der geplante Ver- kauf an G._____ tatsächlich zustande kommen würde. Im Ergebnis fehlt es mit Be- zug auf den geplanten Aktienverkauf an G._____ an einer arglistigen Täuschung im Sinne des Betrugstatbestandes.</w:t>
      </w:r>
    </w:p>
    <w:p>
      <w:r>
        <w:rPr>
          <w:b/>
        </w:rPr>
        <w:t>E. 8.4</w:t>
      </w:r>
    </w:p>
    <w:p>
      <w:r>
        <w:t>Nichts anderes gilt mit Bezug auf die angeblich vom Beschwerdegegner 1 anlässlich der Generalversammlung im Jahr 2022 getätigte Aussage, wonach von einem Kaufpreis von mindestens Fr. 5.– pro Aktie auszugehen sei, aufgrund wel- cher Äusserung der Beschwerdeführer der irrigen Vorstellung unterlegen sei, in ein werthaltiges Unternehmen zu investieren. Auch insoweit macht der Beschwerde- führer nicht geltend und ist auch nicht ersichtlich, dass bezüglich des behaupteten minimalen Aktienverkaufspreises eine schriftliche und damit verbindliche Vereinba- rung mit der potenziellen Käuferin (G._____) bestanden hätte. Mithin bezog sich auch diese angebliche Aussage des Beschwerdegegners 1 auf eine in der Zukunft liegende Entwicklung, hinsichtlich welcher gerade keine Gewissheit bestand, auch nicht auf Seiten des Beschwerdegegners 1. Ohnehin konnte Letzterer diesbezüg- lich keine verbindliche Zusicherung abgeben, solange die potenzielle Käuferin dem erwähnten minimalen Aktienverkaufspreis nicht verbindlich zugestimmt hatte. Mit- hin handelte es sich bei dieser angeblichen Aussage des Beschwerdegegners 1 letztlich um eine (blosse) Absichtserklärung. Im Übrigen lag es in der Verantwor- tung des Beschwerdeführers als erfahrener Investor, sich ein eigenes Bild vom ge- genwärtigen Wert der Gesellschaft zu machen. Nachdem ihm als Aktionär entspre- chende Unterlagen zur Verfügung standen, namentlich die jährlichen Geschäftsab- schlüsse der C._____AG, konnte er mit Bezug auf deren finanzielle Lage nicht völ- lig im Unklaren sein. Ebenso wenig durfte er sich unkritisch auf die angeblich vom Beschwerdegegner 1 getätigten Zusicherungen verlassen, zumal betreffend den angeblichen minimalen Aktienverkaufspreis wie erwähnt keinerlei Schriftlichkeiten existierten und die angeblich an einer Generalversammlung der F._____AG gefal- lene, aber nicht protokollierte Äusserung des Beschwerdegegners 1 zum Mindest- kaufpreis von Fr. 5.– pro Aktie aus dem Frühjahr 2022 stammte, mithin über ein</w:t>
      </w:r>
    </w:p>
    <w:p>
      <w:r>
        <w:t>- 17 - Jahr vor dem letzten Investment des Beschwerdeführers erfolgt war. Das vom Be- schwerdeführer betonte jahrelange Vertrauensverhältnis zum Beschwerdegeg- ner 1 ändert daran nichts.</w:t>
      </w:r>
    </w:p>
    <w:p>
      <w:r>
        <w:rPr>
          <w:b/>
        </w:rPr>
        <w:t>E. 8.5</w:t>
      </w:r>
    </w:p>
    <w:p>
      <w:r>
        <w:t>Schliesslich kann dem Beschwerdeführer auch nicht gefolgt werden, wenn er sich auf den Entscheid des Bundesgerichts BGE 135 IV 76 beruft und geltend macht, genau wie in jenem Entscheid sei ihm aufgrund der wahrheitswidrigen Aus- sagen des Beschwerdegegners 1 verborgen geblieben, dass er in einen Nonvaleur investiert habe anstatt in ein angeblich werthaltiges Unternehmen (vgl. Urk. 2 Rz. 11 ff.). Der zitierte Entscheid, in welchem das Bundesgericht eine arglistige Täuschung der betroffenen Investoren bejahte, unterscheidet sich in wesentlichen Punkten von der vorliegenden Konstellation. In jenem Entscheid ging es um einen Handel mit derivativen Finanzinstrumenten durch Geschädigte, welchen jegliches Fachwissen in diesem Bereich fehlte, weshalb sie auf die Informationsbereitschaft der beschuldigten Berater angewiesen waren. Dabei wurden die Geschädigten über das Ausmass der mit der Investition verbundenen Risiken aufgrund der raffi- nierten Täuschungen mittels falscher Werbeunterlagen und wahrheitswidriger mündlicher Angaben getäuscht, auf welche Zusicherungen sie vertrauten, so das Bundesgericht (135 IV 76 E. 5.3). Nicht nur war der Beschwerdeführer im Gegen- satz dazu – wie dargelegt – keineswegs ein Laie im Bereich von Private Equity- Investitionen, sondern es ist auch nicht ersichtlich, inwiefern er vom Beschwerde- gegner 1 mittels besonderer Machenschaften in strafrechtlich relevanter Weise ge- täuscht worden sein sollte im Zusammenhang mit den von ihm getätigten Investiti- onen. Entsprechend vermag der Beschwerdeführer aus diesem Bundesgerichts- entscheid nichts zu seinen Gunsten abzuleiten.</w:t>
      </w:r>
    </w:p>
    <w:p>
      <w:r>
        <w:rPr>
          <w:b/>
        </w:rPr>
        <w:t>E. 9</w:t>
      </w:r>
    </w:p>
    <w:p>
      <w:r>
        <w:t>Abschliessend bleibt anzufügen, dass sich selbstredend auch aus dem Ver- weis des Beschwerdeführers auf angeblich zahlreiche namhafte Investoren, darun- ter auch bekannte Namen der Schweizer Industrie und Finanzwirtschaft, welche über Fr. 120 Mio. in das Projekt einbezahlt hätten (vgl. Urk. 2 Rz. 14), keine An- haltspunkte für ein strafbares Verhalten des Beschwerdegegners 1 ergeben. Tat- sache ist, dass bisher offenbar kein anderer Investor eine Strafanzeige eingereicht hat. Die nicht näher substantiierte Behauptung des Beschwerdeführers in der Re-</w:t>
      </w:r>
    </w:p>
    <w:p>
      <w:r>
        <w:t>- 18 - plik, es hätten sich inzwischen weitere Geschädigte bei seinem Vertreter gemeldet, die aus ähnlichen Gründen strafrechtliche Schritte gegen den Beschwerdegegner 1 einleiten bzw. sich in das Verfahren einbringen wollten, wenn es denn eröffnet werde, ändert daran nichts. Somit ist die angefochtene Nichtanhandnahmeverfü- gung nicht zu beanstanden und es besteht kein Anlass für weitere Untersuchungs- handlungen. Die Beschwerde erweist sich als unbegründet und ist abzuweisen. III. 1. Bei diesem Verfahrensausgang wird der Beschwerdeführer kostenpflichtig (Art. 428 Abs. 1 StPO). Die Gerichtsgebühr für das Beschwerdeverfahren ist in Be- achtung der Bemessungskriterien von § 2 Abs. 1 lit. b-d GebV OG (Bedeutung und Schwierigkeit des Falls, Zeitaufwand des Gerichts) und gestützt auf § 17 Abs. 1 GebV OG auf Fr. 2'200.– festzusetzen. Die dem Beschwerdeführer auferlegten Kosten sind von der geleisteten Kaution zu beziehen. Ausgangsgemäss hat der Beschwerdeführer keinen Anspruch auf Entschädigung. 2. Der anwaltlich vertretene Beschwerdegegner 1 liess sich im Beschwerdever- fahren vernehmen und stellte Anträge. Für die damit verbundenen Aufwendungen ist er zu entschädigen. Angesichts der sich stellenden juristischen Fragen erweist sich der Fall als mässig anspruchsvoll, wenn auch von finanziellem Gewicht. Die Stellungnahme des Beschwerdegegners 1 zur Beschwerde umfasst (ohne Rubrum und Anträge) nur knapp drei Textseiten (Urk. 17). Es rechtfertigt sich, dem obsiegenden Be- schwerdegegner 1 für seine Aufwendungen eine Entschädigung von Fr. 1'100.– (inkl. Auslagen und MwSt.) zuzusprechen. Die Entschädigungspflicht trifft die Staatskasse, nachdem es sich beim Betrug i.S. von Art. 146 StGB um ein Offizial- delikt handelt (vgl. BGE 147 IV 47).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