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UE250187 vom 18. Juni 2025</w:t>
      </w:r>
    </w:p>
    <w:p>
      <w:r>
        <w:t>ZH Obergericht, 2025-06-18, DE</w:t>
      </w:r>
    </w:p>
    <w:p>
      <w:r>
        <w:rPr>
          <w:b/>
        </w:rPr>
        <w:t xml:space="preserve">Quelle: </w:t>
      </w:r>
      <w:r>
        <w:t>https://mcp.opencaselaw.ch/entscheid/zh_obergericht_UE250187</w:t>
      </w:r>
    </w:p>
    <w:p>
      <w:r>
        <w:t>FR: ZH_OBERGERICHT UE250187 du 18 juin 2025</w:t>
      </w:r>
    </w:p>
    <w:p>
      <w:r>
        <w:t>IT: ZH_OBERGERICHT UE250187 del 18 giugno 2025</w:t>
      </w:r>
    </w:p>
    <w:p>
      <w:pPr>
        <w:pStyle w:val="Heading2"/>
      </w:pPr>
      <w:r>
        <w:t>Erwägungen</w:t>
      </w:r>
    </w:p>
    <w:p>
      <w:r>
        <w:rPr>
          <w:b/>
        </w:rPr>
        <w:t>E. 15</w:t>
      </w:r>
    </w:p>
    <w:p>
      <w:r>
        <w:t>Mai 2025 (Urk. 2) wandten sich A._____ (nachfolgend: Beschwerdeführer 1) sowie B._____ (nachfolgend: Beschwerdeführerin 2) unter Beilage der genannten Nichtanhandnahmverfügung (Urk. 3/1) sowie weiteren teils in englischer und fran- zösischer Sprache verfassten Beilagen (Urk. 3/1-5, insb. Urk. 3/3 und Urk. 3/5) an die III. Strafkammer des Obergerichts des Kantons Zürich. Die Eingabe ist als Be- schwerde(schrift) gegen die Nichtanhandnahmeverfügung der Staatsanwaltschaft Winterthur/Unterland vom 7. Mai 2025 entgegenzunehmen. 1.2. Mit in französischer Sprache verfasster Eingabe vom 16. Juni 2025 (Urk. 6) wandten sich die Beschwerdeführer 1 und 2 samt weiteren in französischer und englischer Sprache verfassten Beilagen (Urk. 7/1-4, insb. Urk. 7/3 und Urk. 7/4) in gleicher Sache erneut an die III. Strafkammer des Obergerichts des Kantons Zürich. 2.1. Die Verfahrenssprache der Strafbehörden im Kanton Zürich ist Deutsch (Art. 67 Abs. 1 StPO i.V.m. Art. 48 KV). 2.2. Den Beschwerdeführern 1 und 2 ist daher in (analoger) Anwendung von Art. 110 Abs. 4 StPO eine kurze Nachfrist zur Einreichung von Übersetzungen der Eingaben vom 15. Mai 2025 (Urk. 2) und vom 16. Juni 2025 (Urk. 6) in deutscher Sprache anzusetzen. Ebenso haben die Beschwerdeführer 1 und 2 innert gleicher Frist Überset- zungen der Beilagen Urk. 3/3, Urk. 3/5, Urk. 7/3 sowie Urk. 7/4 in deutscher Spra- che nachzureichen, falls sich die genannten Beilagen nicht bereits in den Akten der Staatsanwaltschaft befinden. Weiter sind die Beschwerdeführer 1 und 2 darauf hinzuweisen, dass für all- fällige weitere und ohne deutsche Übersetzung eingereichten neuen fremdspra- chigen Eingaben oder Beilagen, die sich nicht auch in den Akten der Staatsan- waltschaft finden, inskünftig keine Frist zur Übersetzung angesetzt wird und diese ohne weitere Ankündigung als unbeachtlich zu betrachten sein werden.</w:t>
      </w:r>
    </w:p>
    <w:p>
      <w:r>
        <w:t>- 3 - 3.1. Gestützt auf Art. 383 Abs. 1 StPO kann die Privatklägerschaft – unabhängig vom allfälligen Verfahrensausgang – verpflichtet werden, innert einer Frist für all- fällige Kosten und Entschädigungen einen Geldbetrag als Sicherheit zu hinterle- gen (Prozesskaution). Wird die Sicherheit nicht fristgerecht geleistet, so tritt das Obergericht auf die Beschwerde nicht ein (Art. 383 Abs. 2 StPO). Vor dem Hinter- grund der Bestimmung in Art. 397 Abs. 5 StPO (Konkretisierung des Beschleuni- gungsgebots) ist die Frist zur Leistung der Prozesskaution praxisgemäss auf 10 Tage festzusetzen. 3.2. Erst nach Eingang der Prozesskaution werden die weiteren verfahrensleiten- den Schritte geprüft und falls nötig die Akten der Behörde, die den angefochtenen Entscheid erlassen hat (Vorinstanz), beigezogen. Für eine allfällige Stellung- nahme der Gegenseite würde im Hinblick auf das Beschleunigungsgebot sowie in Nachachtung des Grundsatzes der Gleichbehandlung aller Verfahrensbeteiligten (Art. 3 Abs. 2 lit. c StPO, vgl. auch Art. 29 Abs. 1 erster Satzteil BV) voraussicht- lich nur noch eine nicht erstreckbare Frist von 10 Tagen (analog Beschwerdefrist) angesetzt werden. Es wird verfügt: (Oberrichter lic. iur. D. Oehninger)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