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UE250149 vom 17. November 2025</w:t>
      </w:r>
    </w:p>
    <w:p>
      <w:r>
        <w:t>ZH Obergericht, 2025-11-17, DE</w:t>
      </w:r>
    </w:p>
    <w:p>
      <w:r>
        <w:rPr>
          <w:b/>
        </w:rPr>
        <w:t xml:space="preserve">Quelle: </w:t>
      </w:r>
      <w:r>
        <w:t>https://mcp.opencaselaw.ch/entscheid/zh_obergericht_UE250149</w:t>
      </w:r>
    </w:p>
    <w:p>
      <w:r>
        <w:t>FR: ZH_OBERGERICHT UE250149 du 17 novembre 2025</w:t>
      </w:r>
    </w:p>
    <w:p>
      <w:r>
        <w:t>IT: ZH_OBERGERICHT UE250149 del 17 novembre 2025</w:t>
      </w:r>
    </w:p>
    <w:p>
      <w:pPr>
        <w:pStyle w:val="Heading2"/>
      </w:pPr>
      <w:r>
        <w:t>Erwägungen</w:t>
      </w:r>
    </w:p>
    <w:p>
      <w:r>
        <w:rPr>
          <w:b/>
        </w:rPr>
        <w:t>E. 1</w:t>
      </w:r>
    </w:p>
    <w:p>
      <w:r>
        <w:t>Am 25. Mai 2023 erstattete die A._____ AG (nachfolgend: Beschwerdefüh- rerin) Strafanzeige gegen B._____ (nachfolgend: Beschwerdegegner) wegen Ver- untreuung und Betrug (Urk. 15/1). Am 27. März 2025 verfügte die Staatsanwalt- schaft See/Oberland (nachfolgend: Staatsanwaltschaft) die Einstellung der Stra- funtersuchung (Urk. 5). Am 31. März 2025 wies die Staatsanwaltschaft den von der Beschwerdeführerin gestellten Beweisantrag ab (Urk. 15/15).</w:t>
      </w:r>
    </w:p>
    <w:p>
      <w:r>
        <w:rPr>
          <w:b/>
        </w:rPr>
        <w:t>E. 2</w:t>
      </w:r>
    </w:p>
    <w:p>
      <w:r>
        <w:t>Die Staatsanwaltschaft See/Oberland sei anzuweisen, eine or- dentliche Strafuntersuchung durchzuführen und die Sachlage zur Anklage zu bringen.</w:t>
      </w:r>
    </w:p>
    <w:p>
      <w:r>
        <w:rPr>
          <w:b/>
        </w:rPr>
        <w:t>E. 3</w:t>
      </w:r>
    </w:p>
    <w:p>
      <w:r>
        <w:t>Innert Frist ging die Sicherheitsleistung in der Höhe von Fr. 2'500.– ein (Urk. 8; Urk. 11). Die Staatsanwaltschaft nahm unter Einreichung der Untersu- chungsakten (Urk. 15) mit Eingabe vom 9. Mai 2025 Stellung und beantragte die Abweisung der Beschwerde (Urk. 14). Der Beschwerdegegner liess sich nicht ver- nehmen. Die Beschwerdeführerin replizierte mit Eingabe vom 6. Juni 2025 (Urk. 20).</w:t>
      </w:r>
    </w:p>
    <w:p>
      <w:r>
        <w:rPr>
          <w:b/>
        </w:rPr>
        <w:t>E. 3.1</w:t>
      </w:r>
    </w:p>
    <w:p>
      <w:r>
        <w:t>Die Staatsanwaltschaft stellte die Strafuntersuchung im Wesentlichen mit der Begründung ein, dass eine Veruntreuung mangels Werterhaltungspflicht ent- falle. Ein Betrug könnte gegeben sein, wenn der Beschwerdegegner von Anfang an bei Vertragsabschluss und Empfang der Anzahlung nicht die Absicht gehabt hätte, die versprochenen Leistungen zu erbringen. Nach Vertragsschluss sei es zu neuen Verhandlungen wegen einer nötigen Vertragsergänzung gekommen, wobei die Beschwerdeführerin in der Folge wegen Uneinigkeit zwischen den Par- teien vom Vertrag zurückgetreten sei. Der Beschwerdegegner habe die Be- schwerdeführerin um die genauen Masse der Wände gebeten, auf der Baustelle Besprechungen durchgeführt und dort bereits Baumaterial deponiert. Unter die- sen Umständen könne nicht gesagt bzw. zumindest nicht rechtsgenügend bewie- sen werden, dass der Beschwerdegegner nie vorgehabt habe, seine Leistungen zu erbringen. Es fehle an einer anklagegenügenden Grundlage betreffend den Vorwurf des Betrugs (Urk. 5). An diesem Standpunkt hielt sie in ihrer Stellung- nahme fest (Urk. 14).</w:t>
      </w:r>
    </w:p>
    <w:p>
      <w:r>
        <w:rPr>
          <w:b/>
        </w:rPr>
        <w:t>E. 3.2</w:t>
      </w:r>
    </w:p>
    <w:p>
      <w:r>
        <w:t>Die Beschwerdeführerin entgegnet zusammengefasst, dass sich die C._____ AG im Vorfeld, während des Vertragsschlusses mit ihr und auch danach in ernsthaften finanziellen Schwierigkeiten befunden habe, was dem Beschwerde- gegner als Geschäftsführer bewusst gewesen sei; er habe jedoch sie, die Be- schwerdeführerin, pflichtwidrig nicht darüber informiert. Es bestehe der ernstzu- nehmende Verdacht, dass die C._____ AG niemals in der Lage gewesen wäre, gegenüber ihr die vertraglichen Pflichten zu erfüllen, sondern von Beginn her ge- plant gewesen sei, ihre Anzahlung über Fr. 85'000.– einzig zur Schuldensanie- rung zu verwenden. Dies begründe einen Verdacht auf eine täuschende Vorge- hensweise im Sinne von Art. 146 StGB (Urk. 2 S. 17 ff., insb. S. 20 N 39 sowie Urk. 20).</w:t>
      </w:r>
    </w:p>
    <w:p>
      <w:r>
        <w:rPr>
          <w:b/>
        </w:rPr>
        <w:t>E. 4</w:t>
      </w:r>
    </w:p>
    <w:p>
      <w:r>
        <w:t>Juli 2022 erklärte E._____, dass bei Erforderlichkeit von teurerem Material der Einkaufspreis bezahlt werde. Leistungen, die bereits in der Ausschreibung enthal- ten gewesen seien, würden nicht nochmals bezahlt. Er setzte eine Frist von zwei Tagen an, um ein finales Angebot zu unterbreiten, andernfalls die Beschwerde- führerin vom Vertrag zurücktreten und den angezahlten Betrag sofort zurückfor- dern werde (Urk. 15/2/12). Der Beschwerdegegner antwortete am 14. Juli 2022 im Wesentlichen, dass bis heute keine Bau-freigabe erfolgt sei, was mutmasslich daran liege, dass stetig immer wieder Zusatz- und Änderungswünsche eingetrof- fen seien, über welche sie sich nach wie vor nicht geeinigt hätten. Sofern ge- wünscht, könne wie besprochen am 22. August 2022 mit den beauftragten Arbei- ten begonnen werden, sofern die Baustelle dann bereit sei. Ein früherer Beginn sei leider nicht mehr kurzfristig möglich. Er bitte um Instruktion, ob am 22. August 2022 mit den Arbeiten begonnen werden solle oder nicht. Sollte die Beschwerde- führerin wider Erwarten vom rechtsgültig geschlossenen Werkvertrag zurückzutre- ten, so würde dies nach Art. 377 OR zur Unzeit erfolgen und sie, die Beschwerde- führerin, müsse die C._____ AG in diesem Fall vollumfänglich schadlos halten</w:t>
      </w:r>
    </w:p>
    <w:p>
      <w:r>
        <w:t>- 7 - (entgangener Gewinn, unnötige Aufwendungen, nicht anders einsetzbare Res- sourcen etc.; Urk. 15/2/13). 5.4. Die Beschwerdeführerin betrieb in der Folge die C._____ AG über einen Be- trag von Fr. 60'312.–; die C._____ AG erhob Rechtsvorschlag (Urk. 15/6/2 S. 3). Am 1. Dezember 2022 reichte die Beschwerdeführerin beim Friedensrichteramt ein Schlichtungsgesuch ein und beantragte die Verpflichtung der C._____ AG, ihr Fr. 80'000.–, zzgl. 5% Zins seit dem 30. Juni 2022, eventualiter Fr. 60'312.–, zzgl. 5% Zins seit 8. September 2022, zu bezahlen, sowie die Aufhebung des Rechts- vorschlages (Urk. 15/2/14). Auf die Einreichung einer Zivilklage beim Gericht ver- zichtete die Beschwerdeführerin in der Folge (Urk. 15/6/3, im Anhang). Stattdes- sen erstattete sie Strafanzeige. Festzuhalten ist in diesem Zusammenhang, dass das Strafverfahren nicht ein blosses Vehikel zur Durchsetzung allfälliger zivilrecht- licher Ansprüche sein darf (Urteile des Bundesgerichts 6B_275/2023 vom 24. Mai 2023 E. 3.4 und 7B_769/2024 vom 29. November 2024 E. 1.2.3). 5.5. Anklagegenügende Anhaltspunkte für ein strafrechtlich relevantes Verhalten existieren nicht. Wie die Staatsanwaltschaft zutreffend festhielt (Urk. 5 S. 2), lie- gen keine anklagegenügenden Hinweise dafür vor, dass der Beschwerdegegner von Anfang an, d.h. bei Vertragsschluss und Empfang der Anzahlung, nicht vor- hatte, die versprochenen Leistungen zu erbringen. Wie die Staatsanwaltschaft zu- treffend ausführte (Urk. 5 S. 2), bat der Beschwerdegegner um die genauen Masse der Wände (Urk. 15/5 S. 4 F/A 20, Urk. 15/7/8/5 Beilage 19) und um Zu- stellung von Plänen (Urk. 15/7/8/3 S. 2 Beilage 4), hat Abklärungen vorgenom- men (vgl. Urk. 15/7/8/3 Beilage 7), führte auf der Baustelle Besprechungen durch (vgl. Urk. 15/7/8/5 Beilage 13 und Beilage 24) und deponierte dort bereits Bauma- terial (Urk. 15/7/8/5 Beilage 12, Urk. 15/5 S. 6 F/A 33). Diese Arbeitsschritte des Beschwerdegegners sind aktenkundig, weshalb die Staatsanwaltschaft – entge- gen der Ansicht der Beschwerdeführerin (Urk. 2 S. 17 N 32) – hierzu keine weite- ren Untersuchungshandlungen vorzunehmen hatte, wie sie in ihrer Stellung- nahme zutreffend festhielt (Urk. 14 S. 1). Weshalb die C._____ AG noch nicht mit den Arbeiten begonnen hatte, wurde vom Beschwerdegegner insbesondere schlüssig mit den zwischen den Parteien nach Abschluss des Werkvertrages auf-</w:t>
      </w:r>
    </w:p>
    <w:p>
      <w:r>
        <w:t>- 8 - gekommenen Differenzen betreffend die Vertragsanpassungen begründet (Urk. 15/7/7 S. 5 ff. N 9 ff.), was sich mit der von den Parteien eingereichten E- Mail-Korrespondenz deckt (vgl. Urk. 15/2/11-13 Urk. 15/7/8/5). Dass die C._____ AG nicht in der Lage gewesen wäre bzw. nicht vorgehabt hätte, den abgeschlos- senen Werkvertrag zu erfüllen (Urk. 2 S. 17 f. N 33 ff.), ist eine Mutmassung der Beschwerdeführerin. Die finanzielle Situation der C._____ AG gemäss eingereich- ten Betreibungsregisterauszügen (Urk. 3/16, Urk. 3/17; Urk. 2 S. 18 N 35, Urk. 20 S. 2 N 5) sowie der Abfluss der Gelder gemäss den edierten Kontoauszügen (Urk. 15/3/5, Urk. 2 S. 18 f. N 36) genügt als Anklagefundament nicht, zumal die C._____ AG nach wie vor im Handelsregister eingetragen ist und dementspre- chend nicht der Konkurs über sie eröffnet worden ist. Eine Verurteilung erscheint unter Einbezug der gesamten Umstände als unwahrscheinlich. Unterlassene Un- tersuchungshandlungen, die hieran etwas zu ändern vermöchten, sind nicht er- sichtlich. Die Staatsanwaltschaft hat somit zu Recht die Einstellung der Strafunter- suchung betreffend Betrug verfügt.</w:t>
      </w:r>
    </w:p>
    <w:p>
      <w:r>
        <w:rPr>
          <w:b/>
        </w:rPr>
        <w:t>E. 6</w:t>
      </w:r>
    </w:p>
    <w:p>
      <w:r>
        <w:t>Zusammenfassend erweist sich die Beschwerde als unbegründet und ist ab- zuweisen. III. 1. Angesichts der Bedeutung und Schwierigkeit des Falls sowie des Aufwands des Gerichts (allesamt nicht unerheblich) ist die Gerichtsgebühr für das Be- schwerdeverfahren auf Fr. 2'000.– festzusetzen (§ 17 Abs. 1 i.V.m. § 2 Abs. 1 lit. b - d GebV OG), ausgangsgemäss der Beschwerdeführerin aufzuerlegen (Art. 428 Abs. 1 StPO) und aus der Sicherheitsleistung zu beziehen (Art. 428 Abs. 1 StPO). Der Rest der Sicherheitsleistung ist der Beschwerdeführerin – vor- behältlich eines allfälliges Verrechnungsrechts des Staates – nach Ablauf der Rechtsmittelfrist bzw. nach Erledigung allfälliger Rechtsmittelverfahren zurückzu- erstatten. Infolge Unterliegens ist der Beschwerdeführerin keine Entschädigung zuzusprechen. 2. Der Beschwerdegegner ist amtlich verteidigt. Die Kosten der amtlichen Ver- teidigung stellen Auslagen dar (Art. 422 Abs. 2 lit. a StPO), welche nicht der un-</w:t>
      </w:r>
    </w:p>
    <w:p>
      <w:r>
        <w:t>- 9 - terliegenden Beschwerdeführerin auferlegt werden können (BGE 145 IV 90 E. 5.2 [Pra 2019 Nr. 114]). Die Kosten der amtlichen Verteidigung des Beschwerdegeg- ners sind daher auf die Gerichtskasse zu nehmen. Der Beschwerdegegner liess sich zwar nicht vernehmen, dennoch fiel der amtlichen Verteidigung im Rahmen des Beschwerdeverfahrens entschädigungspflichtiger Aufwand an, weshalb sie für diese Aufwendungen gestützt auf § 19 Abs. 1 i.V.m. § 2 Abs. 1 lit. b-e Anw- GebV pauschal mit Fr. 300.– inkl. MwSt. aus der Gerichtskasse zu entschädigen ist (vgl. BGE 143 IV 453).</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