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UE250137 vom 21. August 2025</w:t>
      </w:r>
    </w:p>
    <w:p>
      <w:r>
        <w:t>ZH Obergericht, 2025-08-21, DE</w:t>
      </w:r>
    </w:p>
    <w:p>
      <w:r>
        <w:rPr>
          <w:b/>
        </w:rPr>
        <w:t xml:space="preserve">Quelle: </w:t>
      </w:r>
      <w:r>
        <w:t>https://mcp.opencaselaw.ch/entscheid/zh_obergericht_UE250137</w:t>
      </w:r>
    </w:p>
    <w:p>
      <w:r>
        <w:t>FR: ZH_OBERGERICHT UE250137 du 21 août 2025</w:t>
      </w:r>
    </w:p>
    <w:p>
      <w:r>
        <w:t>IT: ZH_OBERGERICHT UE250137 del 21 agosto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Eingabe vom 6. Oktober 2023 liess A._____ (nachfolgend: Beschwerde- führer) durch seinen Rechtsvertreter bei der Staatsanwaltschaft Zürich-Sihl (nach- folgend: Staatsanwaltschaft) Strafanzeige gegen B._____ (nachfolgend: Be- schwerdegegner 1) erstatten wegen Verleumdung, eventualiter übler Nachrede. Gemäss Strafanzeige hätten zwei Schreiben von Rechtsanwalt C._____, dem Rechtsvertreter des Beschwerdegegners 1, an dessen vormalige Arbeitgeberin, die D._____ AG (D._____), ehrverletzende Äusserungen betreffend den Beschwerde- führer enthalten (Urk. 12/1).</w:t>
      </w:r>
    </w:p>
    <w:p>
      <w:r>
        <w:rPr>
          <w:b/>
        </w:rPr>
        <w:t>E. 2</w:t>
      </w:r>
    </w:p>
    <w:p>
      <w:r>
        <w:t>Mit Verfügung vom 27. März 2025 nahm die Staatsanwaltschaft eine Strafun- tersuchung gegen den Beschwerdegegner 1 nicht an die Hand (Urk. 3/1).</w:t>
      </w:r>
    </w:p>
    <w:p>
      <w:r>
        <w:rPr>
          <w:b/>
        </w:rPr>
        <w:t>E. 3</w:t>
      </w:r>
    </w:p>
    <w:p>
      <w:r>
        <w:t>Dagegen liess der Beschwerdeführer mit Eingabe vom 10. April 2025 fristge- recht Beschwerde erheben mit den Anträgen, die angefochtene Verfügung sei auf- zuheben und die Staatsanwaltschaft sei anzuweisen, eine Strafuntersuchung ge- gen den Beschwerdegegner 1 zu eröffnen, und es seien die notwendigen Untersu- chungshandlungen durchzuführen; unter Kosten- und Entschädigungsfolgen, zu- züglich MwSt., zu Lasten der Staatskasse (Urk. 2).</w:t>
      </w:r>
    </w:p>
    <w:p>
      <w:r>
        <w:rPr>
          <w:b/>
        </w:rPr>
        <w:t>E. 4</w:t>
      </w:r>
    </w:p>
    <w:p>
      <w:r>
        <w:t>Mit Verfügung vom 16. April 2025 wurde dem Beschwerdeführer aufgegeben, zur Deckung der ihn allfällig treffenden Prozesskosten eine Prozesskaution zu leis- ten, welche Zahlung innert Frist einging (Urk. 5; Urk. 8). Sodann wurde die Be- schwerdeschrift der Staatsanwaltschaft und dem Beschwerdegegner 1 zur (freige- stellten) Stellungnahme übermittelt (Urk. 9). Die Staatsanwaltschaft verzichtete auf Äusserung (Urk. 11). Der Beschwerdegegner 1 liess sich nicht vernehmen. Die Un- tersuchungsakten wurden beigezogen (Urk. 12). Das Verfahren ist spruchreif.</w:t>
      </w:r>
    </w:p>
    <w:p>
      <w:r>
        <w:rPr>
          <w:b/>
        </w:rPr>
        <w:t>E. 5</w:t>
      </w:r>
    </w:p>
    <w:p>
      <w:r>
        <w:t>Infolge Abwesenheit eines Kammermitglieds und in Nachachtung des Be- schleunigungsgebots ergeht vorliegender Entscheid – entgegen der Ankündigung (vgl. Urk. 5 S. 3) – teilweise in anderer Besetzung bzw. zufolge hoher Geschäftslast unter Mitwirkung einer Stellvertretung des Kammerpräsidenten .</w:t>
      </w:r>
    </w:p>
    <w:p>
      <w:r>
        <w:t>- 3 -</w:t>
      </w:r>
    </w:p>
    <w:p>
      <w:r>
        <w:rPr>
          <w:b/>
        </w:rPr>
        <w:t>E. 6</w:t>
      </w:r>
    </w:p>
    <w:p>
      <w:r>
        <w:t>In einem Kontext wie dem vorliegenden ist nicht leichthin anzunehmen, dass eine ehrenrührige Äusserung die Grenze für die Annahme einer strafbaren Ehrver- letzung erreicht. Mit den beiden beanstandeten Schreiben hat der Beschwerdegeg- ner 1 (bzw. dessen Rechtsvertreter) auf die zuvor seitens der D._____ ausgespro- chene Kündigung, welche aus seiner Sicht als missbräuchlich zu qualifizieren ist, reagiert. In diesem Zusammenhang muss ihm zugestanden werden, dass er – um sich gegen die aus seiner Sicht missbräuchliche Kündigung zur Wehr zu setzen und seine Rechte gegenüber seiner vormaligen Arbeitgeberin zu wahren – seine eigene Sicht der Dinge darlegen und auch auf allfälliges Fehlverhalten der Gegen- seite aufmerksam machen kann, welches seines Erachtens zur Kündigung geführt hat. Dazu gehört auch, dass er die Dinge beim Namen nennen bzw. auf die Vorge- schichte mit angeblichen wiederholten Meinungsverschiedenheiten zwischen ihm</w:t>
      </w:r>
    </w:p>
    <w:p>
      <w:r>
        <w:t>- 10 - und dem Beschwerdeführer als damaliger CEO, u.a. im Zusammenhang mit der Nicht-Erstattung einer aus seiner Sicht zwingend erforderlichen MROS-Meldung, Bezug nehmen darf. Mit Bezug auf letztere Thematik lässt sich den beiden Schrei- ben sodann klar entnehmen, dass der Beschwerdegegner 1 seine eigene Wahr- nehmung der betreffenden Vorgänge schildert und die vorgebrachten Umstände nicht als feststehende Tatsachen präsentiert. Dabei muss ihm auch zugestanden werden, die allgemeine Position des Beschwerdeführers sowie dessen Haltung hin- sichtlich der Notwendigkeit der Erstattung einer MROS-Meldung kritisch zu würdi- gen, zumal die diesbezügliche Uneinigkeit letztlich zur streitgegenständlichen Kün- digung Anlass gegeben haben soll. Die betreffenden Ausführungen erweisen sich unter den gegebenen Umständen als sachbezogen und beschränken sich auf das für die Erläuterung des Standpunktes des Beschwerdegegners 1 Notwendige. Auch sind sie nicht unnötig beleidigend. Die Adressatin des Schreibens, die D._____ bzw. deren Verwaltungsratsvorsitzender E._____, wird in Kenntnis der vorangegangenen Unstimmigkeiten die beanstandeten Äusserungen naheliegen- derweise auch vor ebendiesem Hintergrund verstanden und entsprechend mit Vor- sicht zu würdigen gewusst haben. Dass im Zeitpunkt des Versands der beanstandeten Schreiben noch kein for- melles Prozessrechtsverhältnis bestand, sondern erst eine allfällige aussergericht- liche Bereinigung der Streitsache (mittels einer entsprechenden Vereinbarung) im Raum stand, wie der Beschwerdeführer moniert, ändert am Gesagten nichts, zumal die Interessenwahrung naturgemäss schon vor dem Bestehen eines Prozess- rechtsverhältnisses ihren Anfang nimmt. Fehl geht auch sein Einwand, es handle sich um mutmasslich ehrverletzende Äusserungen gegenüber einer Drittperson (gemeint ist wohl der Verwaltungsratspräsident der D._____, E._____, als Adressat der Schreiben vom 24. Mai 2023 und vom 6. Juli 2023), war doch der Beschwerde- führer als damaliger CEO der D._____ in die Vorgänge, welche letzten Endes zur beanstandeten Kündigung geführt haben sollen, direkt involviert. Auch wenn sich der Beschwerdeführer an den Ausführungen von Rechtsanwalt C._____ stört, überschritten die Äusserungen (sofern diese überhaupt als ehrenrührig zu qualifi- zieren sind) – unter Berücksichtigung der gesamten Umstände, unter denen sie erfolgten – die Schwelle, die für eine Bestrafung nach dem Strafgesetzbuch not-</w:t>
      </w:r>
    </w:p>
    <w:p>
      <w:r>
        <w:t>- 11 - wendig ist, klarerweise nicht. Die Tatbestände der üblen Nachrede und der Ver- leumdung sind somit nicht erfüllt. Dies gilt umso mehr, als die Äusserungen nur gegenüber den bei der D._____ tätigen Personen, welche in die Vorgänge rund um die Kündigung des Arbeitsverhältnisses des Beschwerdegegners 1 involviert waren bzw. darüber Bescheid wussten, erfolgten, nicht aber gegenüber aussenstehenden Drittpersonen.</w:t>
      </w:r>
    </w:p>
    <w:p>
      <w:r>
        <w:rPr>
          <w:b/>
        </w:rPr>
        <w:t>E. 7</w:t>
      </w:r>
    </w:p>
    <w:p>
      <w:r>
        <w:t>Im Ergebnis ist die Nichtanhandnahme einer Strafuntersuchung durch die Staatsanwaltschaft nicht zu beanstanden. Die Beschwerde erweist sich als unbe- gründet und ist abzuweisen, soweit darauf einzutreten ist. IV. 1. Bei diesem Verfahrensausgang wird der Beschwerdeführer kostenpflichtig (Art. 428 Abs. 1 StPO). Die Gerichtsgebühr für das Beschwerdeverfahren ist in Be- achtung der Bemessungskriterien von § 2 Abs. 1 lit. b-d GebV OG (Bedeutung und Schwierigkeit des Falls, Zeitaufwand des Gerichts) und gestützt auf § 17 Abs. 1 GebV OG auf Fr. 1'300.– festzusetzen. Ausgangsgemäss hat der Beschwerdefüh- rer keinen Anspruch auf Entschädigung. Auch dem Beschwerdegegner 1 ist man- gels Umtrieben keine Entschädigung auszurichten. 2. Die Gerichtsgebühr ist aus der vom Beschwerdeführer geleisteten Prozess- kaution zu beziehen. Im Restbetrag (Fr. 1'200.–) ist die Kaution dem Beschwerde- führer nach Ablauf der Rechtsmittelfrist oder nach Erledigung allfälliger Rechtsmit- telverfahren gegen den vorliegenden Entscheid unter Vorbehalt des staatlichen Verrechnungsrechts zurückzuerstatten.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