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UE240371 vom 14. April 2025</w:t>
      </w:r>
    </w:p>
    <w:p>
      <w:r>
        <w:t>ZH Obergericht, 2025-04-14, DE</w:t>
      </w:r>
    </w:p>
    <w:p>
      <w:r>
        <w:rPr>
          <w:b/>
        </w:rPr>
        <w:t xml:space="preserve">Quelle: </w:t>
      </w:r>
      <w:r>
        <w:t>https://mcp.opencaselaw.ch/entscheid/zh_obergericht_UE240371</w:t>
      </w:r>
    </w:p>
    <w:p>
      <w:r>
        <w:t>FR: ZH_OBERGERICHT UE240371 du 14 avril 2025</w:t>
      </w:r>
    </w:p>
    <w:p>
      <w:r>
        <w:t>IT: ZH_OBERGERICHT UE240371 del 14 aprile 2025</w:t>
      </w:r>
    </w:p>
    <w:p>
      <w:pPr>
        <w:pStyle w:val="Heading2"/>
      </w:pPr>
      <w:r>
        <w:t>Erwägungen</w:t>
      </w:r>
    </w:p>
    <w:p>
      <w:r>
        <w:rPr>
          <w:b/>
        </w:rPr>
        <w:t>E. 1</w:t>
      </w:r>
    </w:p>
    <w:p>
      <w:r>
        <w:t>Die Nichtanhandnahmeverfügung vom 27. September 2024 sei aufzu- heben.</w:t>
      </w:r>
    </w:p>
    <w:p>
      <w:r>
        <w:rPr>
          <w:b/>
        </w:rPr>
        <w:t>E. 2</w:t>
      </w:r>
    </w:p>
    <w:p>
      <w:r>
        <w:t>Die Staatsanwaltschaft Limmattal/Albis sei anzuweisen, die Strafunter- suchung durchzuführen.</w:t>
      </w:r>
    </w:p>
    <w:p>
      <w:r>
        <w:rPr>
          <w:b/>
        </w:rPr>
        <w:t>E. 3</w:t>
      </w:r>
    </w:p>
    <w:p>
      <w:r>
        <w:t>Der Beschwerdeführerin seien die Mitwirkungsrechte im Verfahren zu gewähren.</w:t>
      </w:r>
    </w:p>
    <w:p>
      <w:r>
        <w:rPr>
          <w:b/>
        </w:rPr>
        <w:t>E. 4</w:t>
      </w:r>
    </w:p>
    <w:p>
      <w:r>
        <w:t>Replik der Beschwerdeführerin Replicando liess die Beschwerdeführerin im Wesentlichen geltend machen, die E._____ GmbH sei per tt.mm.2022 ins Handelsregister eingetragen worden. Es stelle sich die Frage, weshalb die Mietverträge erst im September 2022 auf die E._____ GmbH übertragen worden seien. Es müsse heute davon ausgegangen werden, dass diese bereits im September 2022 in Schieflage geraten und zu be- fürchten gewesen sei, dass die Mieten nicht mehr hätten bezahlt werden können. Um nicht persönlich haften zu müssen, habe der Beschwerdegegner 1 die Übertra- gung der Mietverträge forciert und die Rechtsvertreterin der Beschwerdeführerin im Glauben gelassen, dass er für die Umschreibung der Bürgschaftsverträge besorgt sei. Für die Bürgschaftsausstellung müsse gemäss dem Formular "Antrag für die F._____ Gewerbliche Mietkautionsversicherung" (Urk. 3/6 S. 2: "Beilagen: Diesem Antrag sind folgende Unterlagen beizulegen: Kopie Mietvertrag") der unterzeich- nete Vertrag vorliegen. Die Rechtsvertreterin der Beschwerdeführerin habe somit den Mietvertrag unterzeichnen müssen, damit eine Bürgschaftsurkunde habe er- stellt werden können (Urk. 24 S. 2 f.).</w:t>
      </w:r>
    </w:p>
    <w:p>
      <w:r>
        <w:t>- 6 -</w:t>
      </w:r>
    </w:p>
    <w:p>
      <w:r>
        <w:rPr>
          <w:b/>
        </w:rPr>
        <w:t>E. 5</w:t>
      </w:r>
    </w:p>
    <w:p>
      <w:r>
        <w:t>Rechtliches und Folgerungen a) Gemäss Art. 309 Abs. 1 StPO verfügt die Staatsanwaltschaft die Eröff- nung einer Untersuchung, wenn sich aus den Informationen und Berichten der Po- lizei, aus der Strafanzeige oder aus ihren eigenen Feststellungen ein hinreichender Tatverdacht ergibt, wenn sie Zwangsmassnahmen anordnet sowie wenn sie von der Polizei über schwere Straftaten oder andere schwerwiegende Ereignisse infor- 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 lich keine Straftatbestände oder Prozessvoraussetzungen erfüllt sind. Ebenso ist keine Untersuchung an Hand zu nehmen, wenn Prozesshindernisse, wie z.B. Ver- jährung, gegeben sind. Eine Nichtanhandnahmeverfügung darf jedoch nicht erge- hen, wenn es bloss zweifelhaft ist, ob ein Straftatbestand vorliegt (vgl. zum Ganzen: Jositsch/Schmid, Handbuch des schweiz. Strafprozessrechts, 4. Aufl., Zürich/ St. Gallen 2023, N 1231; Jositsch/Schmid, StPO Praxiskommentar, 4. Aufl., Zü- rich/St. Gallen 2023, N 3 f. zu Art. 309 StPO, N 1 ff. zu Art. 310 StPO; Nathan Landshut/Thomas Bosshard, in: Donatsch/Lieber/Summers/Wohlers, Kommentar zur StPO, 3. Auflage, Zürich 2020, N 11-14 und N 19-23 zu Art. 309 StPO, N 2 ff. zu Art. 310 StPO). b) Mit Freiheitsstrafe bis zu fünf Jahren oder Geldstrafe wird nach Art. 146 Abs. 1 StGB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w:t>
      </w:r>
    </w:p>
    <w:p>
      <w:r>
        <w:t>- 7 - Einfache Lügen erfüllen das Merkmal der Arglist insbesondere dann, wenn die An- gaben nicht oder nur mit besonderer Mühe auf ihre Richtigkeit hin überprüft werden können. Nicht überprüfbar sind namentlich innere Tatsachen, so betreffend Anga- ben zum Erfüllungswillen des Kontrahenten (BGE 119 IV 288, 125 IV 127). Diese Art der Täuschung kann jedoch dann nicht als arglistig gelten, wenn ohne Weiteres überprüfbare Tatsachen erkennen lassen, dass die zugesagte Leistung nicht er- bracht werden kann (BGE 118 IV 361, 125 IV 128). Die Beschwerdeführerin liess dem Beschwerdegegner 1 im Rahmen ihrer Strafan- zeige vom 11. Juni 2024 vorwerfen, er habe von Anfang an die Absicht gehabt, die Bürgschaftserklärung nicht auf die E._____ GmbH umzuschreiben, und er habe bei der Rechtsvertreterin der Beschwerdeführerin den Irrtum bewirkt, dass sie anstelle einer Kaution als Depot eine Bürgschaftsurkunde erhalte (Urk. 16/3 S. 4). Thema des vorliegenden Beschwerdeverfahrens bildet allein dieser Betrugsvorwurf, denn die Rechtsvertreterin der Beschwerdeführerin hat diesen Betrugsvorwurf gegen- über der Staatsanwaltschaft vor dem Erlass der angefochtenen Nichtanhandnah- meverfügung nicht in dem Sinne erweitert, dass sie dem Beschwerdegegner 1 zu- sätzlich vorgeworfen hätte, er habe sie im Rahmen der Verhandlungen betreffend die Übertragung der Mietverträge auf die E._____ GmbH über seinen Erfüllungs- willen (als Vertreter dieser GmbH) und deren Erfüllungsfähigkeit bezüglich der mo- natlichen Mietzinse ebenfalls getäuscht. Erst im Rahmen ihrer Replik liess die Be- schwerdeführerin vorbringen, es müsse heute davon ausgegangen werden, dass die E._____ GmbH bereits im September 2022 in Schieflage geraten und zu be- fürchten gewesen sei, dass die Mieten nicht mehr hätten bezahlt werden können; um nicht persönlich haften zu müssen, habe der Beschwerdegegner 1 die Übertra- gung der Mietverträge forciert und die Rechtsvertreterin der Beschwerdeführerin im Glauben gelassen, dass er für die Umschreibung der Bürgschaftsverträge besorgt sei. Dieser erst nachträglich erhobene, zusätzliche Vorwurf (betreffend die Bezah- lung der Mietzinsen) bildete nicht Gegenstand der angefochtenen Nichtanhandnah- meverfügung, weshalb er auch nicht Gegenstand des vorliegenden Beschwerde- verfahrens sein kann.</w:t>
      </w:r>
    </w:p>
    <w:p>
      <w:r>
        <w:t>- 8 - Die Beschwerdeführerin liess gegenüber dem von der Staatsanwaltschaft vertrete- nen Standpunkt, wonach mit einer kurzen Anfrage hätte überprüft werden können, ob eine Änderung der Kaution durch den Beschwerdegegner 1 bei der F._____ beantragt worden sei, einwenden, für die Bürgschaftsausstellung müsse gemäss dem Formular "Antrag für die F._____ Gewerbliche Mietkautionsversicherung" der unterzeichnete Vertrag vorliegen (Urk. 3/6 S. 2: "Beilagen: Diesem Antrag sind fol- gende Unterlagen beizulegen: Kopie Mietvertrag"), weshalb die Rechtsvertreterin der Beschwerdeführerin den Mietvertrag habe unterzeichnen müssen, damit eine Bürgschaftsurkunde habe erstellt werden können. Auf dem entsprechenden For- mular der F._____ ist auf der ersten Seite im ersten Abschnitt der folgende Text eingerahmt (Urk. 3/6 S. 1): "Bitte beachten Sie, dass die Gewerbliche Mietkautions- versicherung nur abgeschlossen werden kann, wenn eine natürliche Person mit entsprechendem Einfluss und Beteiligung an der Unternehmung als zweite Mieterin den Mietvertrag mitunterzeichnet. Alternativ zur obengenannten Bedingung wird eine private Rückbürgschaft mit öffentlicher Beurkundung akzeptiert." Aus den Bei- lagen zur Strafanzeige geht hervor, dass auf dem neuen, schriftlichen Mietvertrag ausschliesslich die E._____ GmbH als Mieterin aufgeführt ist (Urk. 16/4/7). Unter diesen Umständen hätte eine gewerbliche Mietkautionsversicherung mit der F._____ nur abgeschlossen werden können, wenn der Beschwerdegegner 1 zu einer privaten Rückbürgschaft mit öffentlicher Beurkundung bereit gewesen wäre. Ob eine solche Bereitschaft tatsächlich bestand, hätte die Beschwerdeführerin vor der vorbehaltlosen Übertragung der Mietverträge auf die E._____ GmbH durch ent- sprechende Anfragen beim Beschwerdegegner 1 und vor allem bei der F._____ überprüfen können (indem sie sich bei der F._____ erkundigt hätte, ob Vorberei- tungen für eine öffentliche Beurkundung im Gange seien), was sie jedoch offenbar nicht tat; auf jeden Fall liess sie im Rahmen des vorliegenden Beschwerdeverfah- rens nicht geltend machen, sie habe entsprechende Abklärungen durchführen las- sen. Im Ergebnis hat daher die Staatsanwaltschaft in der Begründung der ange- fochtenen Nichtanhandnahmeverfügung zu Recht festgehalten, dass die einfache Lüge ohne Weiteres überprüfbar gewesen sei. c) Einfache Lügen erfüllen das Merkmal der Arglist auch dann, wenn der Täter aufgrund bestimmter Umstände voraussieht, dass der Getäuschte eine Über-</w:t>
      </w:r>
    </w:p>
    <w:p>
      <w:r>
        <w:t>- 9 - prüfung unterlassen werde (BGE 122 IV 248 m.w.H.). Nach der bundesgerichtli- chen Praxis reicht die Voraussicht, dass nicht überprüft wird, nur dort als Grundlage der Arglist aus, wo sie sich aus einem besonderen Vertrauensverhältnis ergibt oder auf klaren Regelungen bzw. Zusicherungen beruht und nicht nur eine auf gewissen Beobachtungen beruhende Erwartung, sondern eine Gewissheit darstellt (BGE 107 IV 171, 119 IV 37, 142 IV 157). Nicht jede Geschäftsbekanntschaft begründet ein besonderes Vertrauensverhältnis (BGE 126 IV 116). So wurde zum Beispiel ein solches verneint bei jemandem, der einen ihm von früheren geschäftlichen Bezie- hungen her bekannten Bankdirektor um Gewährung von Kontokorrentkrediten er- suchte (BGE 119 IV 37). Wenn die Rechtsvertreterin der Beschwerdeführerin daher geltend macht, es habe ein besonderes Vertrauensverhältnis vorgelegen, weil sie vorab mit dem Beschwerdegegner 1 einen Mietvertrag auf dessen Person abge- schlossen habe (ohne weitere, konkrete Gründe zu nennen, die auf ein besonderes Vertrauensverhältnis schliessen lassen), so genügt eine solche Geschäftsbekannt- schaft eben gerade nicht für dessen Annahme. Somit ist mangels Arglist ein hinreichender Verdacht eines Betruges zu verneinen. d) Die Beschwerdeführerin liess geltend machen, dass am 25. Juni 2024 eine Einvernahme des Beschwerdegegners 1 stattgefunden habe, zu welcher sie nicht eingeladen und die ihr auch nicht mitgeteilt worden sei. Wie die Staatsanwalt- schaft in zutreffender Weise ausgeführt hat, handelte es sich bei der Befragung des Beschwerdegegners 1 vom 25. Juni 2024 um eine polizeiliche, nicht von der Staats- anwaltschaft delegierte Einvernahme (Urk. 16/1 S. 5 und Urk. 16/5), bei welcher noch keine solchen Teilnahme- und Mitwirkungsrechte bestehen wie nach einer Eröffnung der Strafuntersuchung im Falle von delegierten oder eigenen Einvernah- men der Staatsanwaltschaft (Art. 147 Abs. 1 StPO und Art. 312 Abs. 2 StPO). An- gesichts der Tatsache, dass der Beschwerdegegner 1 anlässlich seiner polizeili- chen Einvernahme vom 25. Juni 2024 vom Aussageverweigerungsrecht Gebrauch machte, hätte eine Anwesenheit einer Vertretung der Beschwerdeführerin vermut- lich ohnehin nichts bewirkt. Zusammenfassend ist die Beschwerde abzuweisen.</w:t>
      </w:r>
    </w:p>
    <w:p>
      <w:r>
        <w:t>- 10 - III. Kosten- und Entschädigungsfolgen Ausgangsgemäss sind die Kosten für das Beschwerdeverfahren der Beschwerde- führerin aufzuerlegen (Art. 428 Abs. 1 StPO). Diese sind in Anwendung von § 2 Abs. 1 lit. b-d und gestützt auf § 17 Abs. 1 der Gebührenverordnung des Oberge- richts vom 8. September 2010 (GebV OG) auf Fr. 1'300.– festzusetzen und mit der geleisteten Prozesskaution von Fr. 2'500.– zu verrechnen. Der Beschwerdegegner 1 bzw. sein erbetener Rechtsvertreter hat Anspruch auf eine Entschädigung. Diese geht zulasten der Beschwerdeführerin, da mit der Be- schwerde gegen die Nichtanhandnahmeverfügung kein öffentliches Interesse an einer Strafverfolgung wahrgenommen wurde (vgl. BGE 147 IV 47 E. 4.2.5). Die Entschädigung richtet sich nach der Verordnung über die Anwaltsgebühren (AnwGebV). Im Beschwerdeverfahren wird eine pauschale Gebühr zugesprochen (vgl. § 19 Abs. 1 AnwGebV). Innerhalb der Pauschale bemisst sich der Betrag nach § 2 AnwGebV. Unter Berücksichtigung der in § 2 Abs. 1 lit. b-e AnwGebV aufge- führten Bemessungsgrundlagen (Bedeutung des Falls, Verantwortung des An- walts, notwendiger Zeitaufwand des Anwalts und Schwierigkeit des Falls) erweist sich aufgrund der relativ geringen Komplexität der vorliegenden Angelegenheit und mit Blick auf den als angezeigt erscheinenden Aufwand eine Anwaltsgebühr von Fr. 1'000.– (inklusive Mehrwertsteuer) als angemessen. Die Beschwerdeführerin ist daher für das Beschwerdeverfahren zu verpflichten, dem Rechtsvertreter des Beschwerdegegners 1 eine Prozessentschädigung von Fr. 1'000.– zu bezahlen. Diese Entschädigung ist ebenfalls aus der geleisteten Pro- zesskaution zu entrichten.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