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UE240357 vom 25. Februar 2025</w:t>
      </w:r>
    </w:p>
    <w:p>
      <w:r>
        <w:t>ZH Obergericht, 2025-02-25, DE</w:t>
      </w:r>
    </w:p>
    <w:p>
      <w:r>
        <w:rPr>
          <w:b/>
        </w:rPr>
        <w:t xml:space="preserve">Quelle: </w:t>
      </w:r>
      <w:r>
        <w:t>https://mcp.opencaselaw.ch/entscheid/zh_obergericht_UE240357</w:t>
      </w:r>
    </w:p>
    <w:p>
      <w:r>
        <w:t>FR: ZH_OBERGERICHT UE240357 du 25 février 2025</w:t>
      </w:r>
    </w:p>
    <w:p>
      <w:r>
        <w:t>IT: ZH_OBERGERICHT UE240357 del 25 febbraio 2025</w:t>
      </w:r>
    </w:p>
    <w:p>
      <w:pPr>
        <w:pStyle w:val="Heading2"/>
      </w:pPr>
      <w:r>
        <w:t>Erwägungen</w:t>
      </w:r>
    </w:p>
    <w:p>
      <w:r>
        <w:rPr>
          <w:b/>
        </w:rPr>
        <w:t>E. 1</w:t>
      </w:r>
    </w:p>
    <w:p>
      <w:r>
        <w:t>A._____ (fortan: Beschwerdeführer) liess mit Eingabe vom 5. Juni 2021 Strafanzeige gegen Unbekannt wegen vorsätzlicher schwerer Körperverletzung durch Unterlassen i. S. v. Art. 122 StGB, fahrlässiger schwerer Körperverletzung i. S. v. Art. 125 Abs. 1 und 2 StGB, Unterlassen der Nothilfe i. S. v. Art. 128 StGB sowie Gefährdung des Lebens i. S. v. Art. 129 StGB erstatten. Der Strafanzeige liegt seine Behandlung wegen einer akuten Blinddarmentzündung zwischen dem 28. Mai 2021 und 2. Juni 2021 im Kantonsspital Winterthur zu Grunde, wobei den behandelnden Ärzten konkret vorgeworfen wird, ihn derart falsch behandelt zu ha- ben, dass er am 3. Juni 2021 im Kinderspital Zürich, in welches er nur auf mehr- maliges Insistieren seiner Eltern verlegt worden sei, u. a. wegen einer Dünndarm- perforation in der Nähe der Operationsstelle beim Blinddarm habe notoperiert werden müssen (Urk. 14/1/4/1 S. 2 ff.).</w:t>
      </w:r>
    </w:p>
    <w:p>
      <w:r>
        <w:rPr>
          <w:b/>
        </w:rPr>
        <w:t>E. 2</w:t>
      </w:r>
    </w:p>
    <w:p>
      <w:r>
        <w:t>In der Folge eröffnete die Staatsanwaltschaft I des Kantons Zürich (fortan: Staatsanwaltschaft) nach ergänzenden Ermittlungen u. a. gegen B._____ (fortan: Beschwerdegegner) ein Strafverfahren, welches sie nach Vornahme diverser Ver- fahrenshandlungen mit Verfügung vom 23. September 2024 einstellte (Urk. 3/2 = Urk. 14/1/19).</w:t>
      </w:r>
    </w:p>
    <w:p>
      <w:r>
        <w:rPr>
          <w:b/>
        </w:rPr>
        <w:t>E. 2.1</w:t>
      </w:r>
    </w:p>
    <w:p>
      <w:r>
        <w:t>Eine Beschwerde ist zu begründen, d. h. es ist genau anzugeben, welche Punkte des Entscheids angefochten werden, welche Gründe einen anderen Ent- scheid nahelegen und welche Beweismittel angerufen werden (Art. 396 Abs. 1 StPO i. V. m. Art. 385 Abs. 1 StPO). Die Begründung muss in der Beschwerde- schrift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bereits vor Ablauf der Be- schwerdefrist hätten erhoben werden können (BGE 143 II 283 E. 1.2.3 mit Hin- weisen). Sie hat sich weiter mit den Erwägungen des angefochtenen Entscheids auseinanderzusetzen und die tatsächlichen und/oder rechtlichen Gründe zu nen- nen, die einen anderen Entscheid nahelegen (Urteil des Bundesgerichts 6B_1532/2022 vom 8. Februar 2023 E. 3 mit Hinweisen). Daran mangelt es, wenn die Richtigkeit der tatsächlichen oder rechtlichen Erwägungen der angefochtenen</w:t>
      </w:r>
    </w:p>
    <w:p>
      <w:r>
        <w:t>- 4 - Verfahrenshandlung einfach pauschal bestritten wird (GUIDON, in: Niggli/Heer/Wi- prächtiger [Hrsg.], Basler Kommentar StPO, 3. Aufl. 2023, N 9c zu Art. 396 StPO). Gemäss Art. 385 Abs. 2 StPO weist die Rechtsmittelinstanz eine Eingabe zur Ver- besserung innerhalb einer kurzen Nachfrist an den Einreicher zurück, wenn sie die Anforderungen von Art. 385 Abs. 1 StPO nicht erfüllt. Dies gilt jedoch nicht für bewusst mangelhaft abgefasste Eingaben. Entsprechend führt nicht jeder Begrün- dungsmangel zur Ansetzung einer Nachfrist zur Verbesserung i. S. v. Art. 385 Abs. 2 StPO. Bei anwaltlich vertretenen Parteien kommt eine solche regelmässig nur bei Versehen oder unverschuldetem Hindernis in Frage (Urteile des Bundes- gerichts 7B_51/2024 vom 25. April 2024 E. 2.2.2; 6B_182/2020 vom 6. Januar 2021 E. 2.5; je mit Hinweisen).</w:t>
      </w:r>
    </w:p>
    <w:p>
      <w:r>
        <w:rPr>
          <w:b/>
        </w:rPr>
        <w:t>E. 2.2</w:t>
      </w:r>
    </w:p>
    <w:p>
      <w:r>
        <w:t>Wie vom Beschwerdegegner zutreffend vorgebracht (Urk. 16 S. 2 f.), setzt sich der Beschwerdeführer in seiner Beschwerde (Urk. 2) nicht mit den entscheid- relevanten Erwägungen der Staatsanwaltschaft auseinander. Die Ausführungen in der Beschwerde, wonach der Sachverhalt bezüglich der Frage der verzögerten Bildgebung durch CT sowie der verzögerten Einleitung einer Reoperation nicht genügend abgeklärt worden sei, da zur Klärung solcher medizinischer Fragen ein Gutachten notwendig sei (Urk. 2 Rz 6 ff.), können sich offensichtlich nicht auf den Beschwerdegegner beziehen. So führte die Staatsanwaltschaft in der angefochte- nen Verfügung aus, dass er – der Beschwerdegegner – den Beschwerdeführer am 2. Juni 2021 erstmals untersucht, sich dann mit dem pädiatrischen Team ab- gesprochen und dabei festgestellt habe, dass eine Verschlechterung zum Vortag vorliegen würde. Aufgrund der Abwehrspannung habe er unverzüglich die Indika- tion für ein CT und eine mutmassliche chirurgische Intervention empfohlen. Diese seien nur auf Drängen der Eltern nicht mehr im Kantonsspital Winterthur durchge- führt worden (Urk. 3/2 S. 4 und 6). Inwiefern dies nicht zutreffen sollte bzw. sich der Beschwerdegegner trotz unverzüglichen Handelns der fahrlässigen (schwe- ren) Körperverletzung durch Unterlassen strafbar gemacht haben könnte, lässt der Beschwerdeführer in seiner Beschwerde nicht darlegen. Die in seiner Replik hinsichtlich des Beschwerdegegners getätigten Ausführungen (Urk. 20 S. 2 f.) können nicht dazu dienen, die fehlende Begründung zu ergänzen, hätte er diese doch bereits in der Beschwerdeschrift vorbringen können. Entsprechend sind sie</w:t>
      </w:r>
    </w:p>
    <w:p>
      <w:r>
        <w:t>- 5 - nicht zu berücksichtigen. Da die Beschwerde zwar eine Begründung i. S. v. Art. 396 Abs. 1 StPO i. V. m. Art. 385 Abs. 1 StPO enthält, diese inhaltlich jedoch – aus den oben dargelegten Gründen – an den Entscheidgründen der angefoch- tenen Verfügung vorbei geht bzw. (die erst im Replikstadium vorgebrachte Be- gründung) nicht (mehr) beachtlich ist, besteht kein Raum für eine Nachfristanset- zung i. S. v. Art. 385 Abs. 2 StPO. Entsprechend ist die Beschwerde abzuweisen, soweit darauf überhaupt einzutreten ist. III. 1. Die Kosten des Rechtsmittelverfahrens tragen die Parteien nach Massgabe ihres Obsiegens oder Unterliegens. Als unterliegend gilt auch die Partei, auf de- ren Rechtsmittel nicht eingetreten wird (Art. 428 Abs. 1 StPO). Entsprechend sind die Kosten des Beschwerdeverfahrens dem Beschwerdeführer aufzuerlegen. Ge- messen an der Bedeutung und Schwierigkeit des Falls sowie am Zeitaufwand des Gerichts ist die Gerichtsgebühr für das Beschwerdeverfahren auf Fr. 900.– festzu- setzen (§ 17 Abs. 1 i. V. m. § 2 Abs. 1 lit. b–d GebV OG) und von der geleisteten Prozesskaution von Fr. 2'000.– (Urk. 8) zu beziehen. Im Restbetrag von Fr. 1'100.– ist die Prozesskaution dem Beschwerdeführer nach Eintritt der Rechts- kraft des vorliegenden Entscheids zurückzuerstatten, wobei allfällige Verrech- nungsansprüche des Staates vorbehalten bleiben. 2. Aufgrund seines Unterliegens ist dem Beschwerdeführer für das Beschwer- deverfahren keine Entschädigung zuzusprechen. 3. Demgegenüber ist der anwaltlich vertretene Beschwerdegegner antragsge- mäss für die Aufwendungen seiner anwaltlichen Vertretung aus der Gerichtskasse zu entschädigen (BGE 147 IV 47 E. 4.2.6; Urteil des Bundesgerichts 6B_660/ 2022 vom 9. November 2022 E. 3.3.4). Er liess die 9 Seiten umfassende Be- schwerdeschrift (Urk. 2) mit einer knapp dreiseitigen Stellungnahme beantworten (Urk. 16). Bei der Bemessung der Entschädigung ist zu berücksichtigen, dass es sich nicht um einen sehr komplexen Sachverhalt handelt und keine komplexen Rechtsfragen vorlagen. In Anwendung von § 19 Abs. 1 i. V. m. § 2 Abs. 1 lit. b–d</w:t>
      </w:r>
    </w:p>
    <w:p>
      <w:r>
        <w:t>- 6 - AnwGebV ist die Entschädigung somit pauschal auf Fr. 750.– zuzüglich 8.1 % MwSt., insgesamt Fr. 810.75 festzusetzen. Es wird beschlossen:</w:t>
      </w:r>
    </w:p>
    <w:p>
      <w:r>
        <w:rPr>
          <w:b/>
        </w:rPr>
        <w:t>E. 3</w:t>
      </w:r>
    </w:p>
    <w:p>
      <w:r>
        <w:t>Die Staatsanwaltschaft I sei anzuweisen, ein medizinisches Gutachten über die Frage der Sorgfaltspflichtverletzung einzuholen. Alles unter Kosten- und Entschädigungsfolgen (zzgl. 8.1% MwSt.) zu Lasten der Beschwerde- gegner.»</w:t>
      </w:r>
    </w:p>
    <w:p>
      <w:r>
        <w:t>- 3 -</w:t>
      </w:r>
    </w:p>
    <w:p>
      <w:r>
        <w:rPr>
          <w:b/>
        </w:rPr>
        <w:t>E. 4</w:t>
      </w:r>
    </w:p>
    <w:p>
      <w:r>
        <w:t>Nach fristgemässem Eingang der vom Beschwerdeführer verlangten Pro- zesskaution (Urk. 5; Urk. 7; Urk. 8) wurde der Staatsanwaltschaft sowie dem Be- schwerdegegner mit Verfügung vom 28. Oktober 2024 Frist zur Stellungnahme angesetzt (Urk. 9). Die Staatsanwaltschaft beantragte mit Eingabe vom 4. Novem- ber 2024 die kostenpflichtige Abweisung der Beschwerde (Urk. 11) und reichte ihre elektronischen Untersuchungsakten ein (Urk. 14). Auch der Beschwerdegeg- ner nahm mit Eingabe vom 11. November 2024 innert Frist (Urk. 10/1) Stellung (Urk. 16). Mit Eingabe vom 19. Dezember 2024 liess der Beschwerdeführer frist- gerecht (Urk. 18; Urk. 19) replizieren (Urk. 20). Das Verfahren ist spruchreif. II. 1. Angefochten ist eine Einstellungsverfügung der Staatsanwaltschaft. Dage- gen ist die Beschwerde beim Obergericht zulässig (Art. 322 Abs. 2 StPO und Art. 393 Abs. 1 lit. a StPO sowie § 49 GOG/ZH).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