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UE240326 vom 1. Oktober 2024</w:t>
      </w:r>
    </w:p>
    <w:p>
      <w:r>
        <w:t>ZH Obergericht, 2024-10-01, DE</w:t>
      </w:r>
    </w:p>
    <w:p>
      <w:r>
        <w:rPr>
          <w:b/>
        </w:rPr>
        <w:t xml:space="preserve">Quelle: </w:t>
      </w:r>
      <w:r>
        <w:t>https://mcp.opencaselaw.ch/entscheid/zh_obergericht_UE240326</w:t>
      </w:r>
    </w:p>
    <w:p>
      <w:r>
        <w:t>FR: ZH_OBERGERICHT UE240326 du 1 octobre 2024</w:t>
      </w:r>
    </w:p>
    <w:p>
      <w:r>
        <w:t>IT: ZH_OBERGERICHT UE240326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der Beschwerdegegnerin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