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UE240257 vom 4. Dezember 2024</w:t>
      </w:r>
    </w:p>
    <w:p>
      <w:r>
        <w:t>ZH Obergericht, 2024-12-04, DE</w:t>
      </w:r>
    </w:p>
    <w:p>
      <w:r>
        <w:rPr>
          <w:b/>
        </w:rPr>
        <w:t xml:space="preserve">Quelle: </w:t>
      </w:r>
      <w:r>
        <w:t>https://mcp.opencaselaw.ch/entscheid/zh_obergericht_UE240257</w:t>
      </w:r>
    </w:p>
    <w:p>
      <w:r>
        <w:t>FR: ZH_OBERGERICHT UE240257 du 4 décembre 2024</w:t>
      </w:r>
    </w:p>
    <w:p>
      <w:r>
        <w:t>IT: ZH_OBERGERICHT UE240257 del 4 dicembre 2024</w:t>
      </w:r>
    </w:p>
    <w:p>
      <w:pPr>
        <w:pStyle w:val="Heading2"/>
      </w:pPr>
      <w:r>
        <w:t>Erwägungen</w:t>
      </w:r>
    </w:p>
    <w:p>
      <w:r>
        <w:rPr>
          <w:b/>
        </w:rPr>
        <w:t>E. 1</w:t>
      </w:r>
    </w:p>
    <w:p>
      <w:r>
        <w:t>Es sei die Nichtanhandnahmeverfügung der Staatsanwaltschaft Zürich- Sihl vom 16. Juli 2024 im Verfahren E-2/2024/10011182 aufzuheben und die Beschwerdegegnerin sei anzuweisen, die Strafuntersuchung ge- gen den Beschuldigten betreffend Veruntreuung etc. anhandzunehmen und durchzuführen.</w:t>
      </w:r>
    </w:p>
    <w:p>
      <w:r>
        <w:rPr>
          <w:b/>
        </w:rPr>
        <w:t>E. 2</w:t>
      </w:r>
    </w:p>
    <w:p>
      <w:r>
        <w:t>Begründung der Beschwerde Zur Begründung seiner Beschwerde liess der Beschwerdeführer im Wesentlichen vorbringen, der Beschwerdegegner 1 habe sein Vertrauen missbraucht, indem er das Fahrzeug Nissan GT-R in die Schweiz eingeführt, in eigenen Besitz genom- men, vor dem Beschwerdeführer versteckt und die Herausgabe verweigert habe. Der Beschwerdeführer habe das Fahrzeug am 29. Oktober 2015 in D._____, USA, erworben, wo er zu jener Zeit als Profi in der … gespielt habe. Er habe das Fahr- zeug bezahlt, und er verfüge auch über einen Eigentumsnachweis in Form eines Certificate of Title vom 29. Oktober 2015. Der Beschwerdegegner 1 sei zu jener Zeit als Beauftragter für den Beschwerdeführer tätig gewesen, wobei zwischen ih- nen auch ein freundschaftliches Verhältnis bestanden habe. Der Beschwerdegeg- ner 1 habe sich insbesondere um administrative Tätigkeiten gekümmert (wie na- mentlich die treuhänderische Verwaltung diverser Einnahmen aus Marketing- und Spielerverträgen und die teilweise Erledigung von persönlichen Besorgungen). Da- bei habe kein schriftlicher Auftrag existiert, sondern die Auftragserteilung sei jeweils mündlich erfolgt. Im Weiteren habe der Beschwerdegegner 1 auch Uhren und Au- tos des Beschwerdeführers verwahrt. Per Ende der Saison 2019/2020 habe der Beschwerdeführer die amerikanische … verlassen und zu europäischen Teams ge- wechselt, und der Beschwerdegegner 1 habe ihm angeboten, den Umzug nach Europa zu organisieren (inklusive des Fahrzeuges der Marke Nissan GT-R und eines weiteren Fahrzeuges). Der Beschwerdegegner 1 behaupte, nicht der Beschwerdeführer, sondern er selbst habe das Fahrzeug gekauft, und um diese Aussage zu belegen, habe er anlässlich von dessen polizeilichen Einvernahme einen Kaufvertrag eingereicht, der jedoch weder unterzeichnet sei noch detaillierte Informationen zu den Fahrzeugangaben enthalte. Im Übrigen weise dieser Kaufvertrag Merkmale einer Fälschung auf. Der Beschwerdeführer gehe davon aus, dass der Beschwerdegegner 1 eine Online-</w:t>
      </w:r>
    </w:p>
    <w:p>
      <w:r>
        <w:t>- 6 - Vorlage selbständig ausgefüllt und auf diese Weise einen inhaltlich falschen Kauf- vertrag eingereicht habe, mit dem Ziel, die Strafuntersuchung gegen ihn zu been- den. Am 25. April 2024 habe der Beschwerdeführer beim Bezirksgericht Meilen Klage betreffend Forderung/Feststellung eingereicht. Das Rechtsbegehren laute auf Fest- stellung der Eigentumsverhältnisse [bezüglich des Fahrzeuges der Marke Nissan GT-R]. Eine Feststellungklage sei nur notwendig, weil der Beschwerdeführer man- gels Kenntnis des Halters des Fahrzeuges keine Herausgabeklage habe anheben können, da die Haltereigenschaft durch den Beschwerdegegner 1 absichtlich ver- schleiert werde. Der Beschwerdegegner 1 weigere sich, dem Beschwerdeführer das Fahrzeug her- auszugeben, sofern dieser nicht Fr. 240'000.- dafür bezahle. Der Beschwerdegeg- ner 1 mache die Rückgabe des Fahrzeuges von fingierten und nachdatierten Rech- nungen abhängig. Diese Rechnungen würden den Wert des Fahrzeuges überstei- gen und hätten keine rechtliche Grundlage. Zudem sei aus den Metadaten der Rechnungen ersichtlich, dass es sich dabei nicht um alte Rechnungen handle, son- dern dass diese neu am 4. Januar 2024 erstellt und am gleichen Datum an den Beschwerdeführer verschickt worden seien. Dies lege nahe, dass der einzige Zweck der fingierten Rechnungen sei, den Beschwerdeführer zu einer grundlosen Zahlung zu zwingen und ihn so in seiner Willensfreiheit zu beschränken. Dadurch habe sich der Beschwerdegegner 1 der versuchten Nötigung strafbar gemacht. Im Weiteren erfülle die Verweigerung der Rückgabe des Fahrzeuges den objektiven Tatbestand der Veruntreuung. Zudem bestehe bezüglich des vom Beschwerdegeg- ner 1 eingereichten Kaufvertrages der hinreichende Verdacht einer Urkundenfäl- schung (Urk. 2 S. 4 ff.).</w:t>
      </w:r>
    </w:p>
    <w:p>
      <w:r>
        <w:rPr>
          <w:b/>
        </w:rPr>
        <w:t>E. 3</w:t>
      </w:r>
    </w:p>
    <w:p>
      <w:r>
        <w:t>Stellungnahme des Beschwerdegegners 1 In seiner Stellungnahme liess der Beschwerdegegner 1 im Wesentlichen einwen- den, der Beschwerdeführer weigere sich seit Jahren, die erbrachten zahlreichen</w:t>
      </w:r>
    </w:p>
    <w:p>
      <w:r>
        <w:t>- 7 - Dienstleistungen des Beschwerdegegners 1 zu bezahlen. Im Rahmen eines synal- lagmatischen Vertrages (wie des Auftrages) könne eine Partei die eigene Leistung verweigern, wenn die andere Partei den Vertrag nicht erfüllt habe oder die Erfül- lungsbereitschaft fehle. Somit bestehe auch kein hinreichender Tatverdacht einer Veruntreuung oder einer Nötigung. Es obliege weder der Staatsanwaltschaft noch dem Strafrichter, den Bestand der Eigentümerstellung des Beschwerdeführers oder der Gegenforderungen des Beschwerdegegners 1 zu überprüfen. Zivilrechtliche Streitigkeiten seien vielmehr vor dem Zivilrichter auszutragen (Urk. 15 S. 2 ff.).</w:t>
      </w:r>
    </w:p>
    <w:p>
      <w:r>
        <w:rPr>
          <w:b/>
        </w:rPr>
        <w:t>E. 4</w:t>
      </w:r>
    </w:p>
    <w:p>
      <w:r>
        <w:t>Rechtliches und Folgerungen a) Gemäss Art. 309 Abs. 1 StPO verfügt die Staatsanwaltschaft die Eröff- nung einer Untersuchung, wenn sich aus den Informationen und Berichten der Po- lizei, aus der Strafanzeige oder aus ihren eigenen Feststellungen ein hinreichender Tatverdacht ergibt, wenn sie Zwangsmassnahmen anordnet sowie wenn sie von der Polizei über schwere Straftaten oder andere schwerwiegende Ereignisse infor- miert wurde. Gelangt sie hingegen zum Schluss, dass die fraglichen Straftatbe- stände oder die Prozessvoraussetzungen eindeutig nicht erfüllt sind, Verfahrens- hindernisse bestehen oder gemäss Art. 8 StPO aus Opportunitätsgründen auf eine Strafverfolgung zu verzichten ist, verfügt sie die Nichtanhandnahme (Art. 310 Abs. 1 StPO). Die Staatsanwaltschaft darf dann die Untersuchung - z.B. aufgrund einer Anzeige - nicht an Hand nehmen, wenn mit Sicherheit feststeht, dass der zur Beurteilung vorliegende Sachverhalt unter keinen Straftatbestand fällt oder wenn mit anderen Worten eine Anzeige von vornherein aussichtslos ist, weil offensicht- lich keine Straftatbestände oder Prozessvoraussetzungen erfüllt sind. Ebenso ist keine Untersuchung an Hand zu nehmen, wenn Prozesshindernisse, wie z.B. Ver- jährung, gegeben sind. Eine Nichtanhandnahmeverfügung darf jedoch nicht erge- hen, wenn es bloss zweifelhaft ist, ob ein Straftatbestand vorliegt (vgl. zum Ganzen: Jositsch/Schmid, Handbuch des schweiz. Strafprozessrechts, 4. Aufl., Zürich/ St. Gallen 2023, N 1231; Jositsch/Schmid, StPO Praxiskommentar, 4. Aufl., Zü- rich/St. Gallen 2023, N 3 f. zu Art. 309 StPO, N 1 ff. zu Art. 310 StPO; Nathan Landshut/Thomas Bosshard, in: Donatsch/Lieber/Summers/Wohlers, Kommentar</w:t>
      </w:r>
    </w:p>
    <w:p>
      <w:r>
        <w:t>- 8 - zur StPO, 3. Auflage, Zürich 2020, N 11-14 und N 19-23 zu Art. 309 StPO, N 2 ff. zu Art. 310 StPO). b) Vorweg sind die Rechtsvertreter des Beschwerdeführers darauf hinzu- weisen, dass der Vorwurf der Urkundenfälschung nicht Gegenstand der Strafan- zeige vom 5. Januar 2024 bildete und der Beschwerdeführer auch keine entspre- chende Ergänzung seiner Strafanzeige einreichen liess, weshalb die angefochtene Nichtanhandnahmeverfügung nicht den Vorwurf der Urkundenfälschung betrifft und dieser Vorwurf auch nicht Gegenstand des vorliegenden Beschwerdeverfahrens bilden kann. c) Den vom Beschwerdeführer gegen den Beschwerdegegner 1 erhobe- nen Vorwürfen strafrechtlicher Handlungen liegen komplexe und langjährige Ge- schäftsbeziehungen zwischen ihnen zugrunde, die - nach der Darstellung des Be- schwerdeführers - auf jeweils nur mündlich geschlossenen Verträgen beruhen. In einer solchen Konstellation ist im Falle eines Rechtsstreites von einem sehr gros- sen Aufwand und einem entsprechenden Kostenrisiko im Hinblick auf einen Zivil- prozess auszugehen. Es ist nicht Aufgabe der Strafverfolgungsbehörden bzw. der Strafgerichte, einer Partei im Hinblick auf einen Zivilprozess die Mühen und das Kostenrisiko der Sammlung von Beweisen abzunehmen (BGE 137 IV 246 E. 1.3.1; Urteil des Bundesgerichts 6B_1053/2020 vom 19. November 2020 E. 1.2), und es ist auch nicht Aufgabe der Strafverfolgungsbehörden (sondern der auf solche Fälle spezialisierten Zivilgerichte), über die Zivilforderungen, denen komplexe und lang- jährige Geschäftsbeziehungen zugrunde liegen, rechtsverbindlich zu entscheiden (insbesondere nachdem in derselben Sache bereits eine Zivilklage erhoben wurde). Eine Begleitung des hängigen Zivilprozesses durch ein parallel laufendes Strafverfahren ist weder sachgerecht noch rechtlich angezeigt. Das zuständige Zi- vilgericht wird im Rahmen einer Eigentumsklage auch über ein allfälliges Retenti- onsrecht des Beschwerdegegners 1 (und damit ebenfalls über den Bestand bzw. Nichtbestand der vom Beschwerdegegner 1 geltend gemachten Forderungen) zu entscheiden haben. Da die entsprechenden Verträge - nach der Darstellung des Beschwerdeführers - lediglich mündlich abgeschlossen wurden und bezüglich der Sachverhaltsdarstellung des Beschwerdeführers (wonach keine offenen Forderun-</w:t>
      </w:r>
    </w:p>
    <w:p>
      <w:r>
        <w:t>- 9 - gen des Beschwerdegegners 1 mehr existieren würden) im gegenwärtigen Verfah- rensstadium keine konkreten Anhaltspunkte ersichtlich sind (insbesondere fehlt eine Gesamtübersicht über die vom Beschwerdegegner 1 erbrachten Dienstlei- stungen und die bisherigen Geldzahlungen des Beschwerdeführers), besteht zu- mindest vor einer entsprechenden Klärung und dem Erlass eines Zivilurteils kein hinreichender Verdacht, dass der Beschwerdegegner 1 im Zeitpunkt der Verweige- rung der Rückgabe des Fahrzeuges keine offenen Geldforderungen gegenüber dem Beschwerdeführer mehr hatte bzw. dies wusste oder es für möglich hielt. Da- her sind sowohl ein hinreichender Verdacht einer unrechtmässigen Bereicherungs- absicht des Beschwerdegegners 1 (und damit einer Veruntreuung) als auch ein hinreichender Verdacht einer versuchten Nötigung im gegenwärtigen Verfahrens- stadium zu verneinen. Zusammenfassend erweist sich die angefochtene Nichtanhandnahmeverfügung als rechtmässig, weshalb die Beschwerde abzuweisen ist. III. Kosten- und Entschädigungsfolgen Ausgangsgemäss sind die Kosten für das Beschwerdeverfahren dem Beschwerde- führer aufzuerlegen (Art. 428 Abs. 1 StPO). Diese sind in Anwendung von § 2 Abs. 1 lit. b-d und gestützt auf § 17 Abs. 1 der Gebührenverordnung des Oberge- richts vom 8. September 2010 (GebV OG) auf Fr. 1'800.- festzusetzen und mit der geleisteten Prozesskaution von Fr. 1'800.- zu verrechnen. Im Weiteren ist der Beschwerdeführer zu verpflichten, den Beschwerdegegner 1 für die Aufwendungen von dessen anwaltlicher Vertretung zu entschädigen. Bei den beanzeigten Delikten der Veruntreuung und der Nötigung handelt es sich zwar um Offizialdelikte, jedoch liegt der Beschwerdeerhebung offensichtlich eine zivil- rechtliche Streitigkeit zu Grunde, und der Beschwerdeschrift lässt sich kein öffent- liches Interesse an einer Strafverfolgung entnehmen. Nach Massgabe der §§ 19 und 2 AnwGebV erweist sich eine Prozessentschädigung von Fr. 800.- (inklusive Mehrwertsteuer) als angemessen.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