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UE240237 vom 24. April 2025</w:t>
      </w:r>
    </w:p>
    <w:p>
      <w:r>
        <w:t>ZH Obergericht, 2025-04-24, DE</w:t>
      </w:r>
    </w:p>
    <w:p>
      <w:r>
        <w:rPr>
          <w:b/>
        </w:rPr>
        <w:t xml:space="preserve">Quelle: </w:t>
      </w:r>
      <w:r>
        <w:t>https://mcp.opencaselaw.ch/entscheid/zh_obergericht_UE240237</w:t>
      </w:r>
    </w:p>
    <w:p>
      <w:r>
        <w:t>FR: ZH_OBERGERICHT UE240237 du 24 avril 2025</w:t>
      </w:r>
    </w:p>
    <w:p>
      <w:r>
        <w:t>IT: ZH_OBERGERICHT UE240237 del 24 aprile 2025</w:t>
      </w:r>
    </w:p>
    <w:p>
      <w:pPr>
        <w:pStyle w:val="Heading2"/>
      </w:pPr>
      <w:r>
        <w:t>Erwägungen</w:t>
      </w:r>
    </w:p>
    <w:p>
      <w:r>
        <w:rPr>
          <w:b/>
        </w:rPr>
        <w:t>E. 1</w:t>
      </w:r>
    </w:p>
    <w:p>
      <w:r>
        <w:t>Mit Eingabe vom 19. April 2024 liess die A._____ GmbH (nachfolgend: Be- schwerdeführerin) Strafanzeige gegen unbekannte Täterschaft wegen versuchter Veruntreuung gemäss Art. 138 Ziff. 1 StGB i.V.m. Art. 22 Abs. 1 StGB sowie wei- terer in Frage kommender Delikte erstatten. Die Beschwerdeführerin warf der un- bekannten Täterschaft vor, ungefähr ab Dezember 2023 in B._____ versucht zu haben, zwölf Wärmepumpen zu veruntreuen (Urk. 7/1).</w:t>
      </w:r>
    </w:p>
    <w:p>
      <w:r>
        <w:rPr>
          <w:b/>
        </w:rPr>
        <w:t>E. 2</w:t>
      </w:r>
    </w:p>
    <w:p>
      <w:r>
        <w:t>Alles unter Kosten- und Entschädigungsfolgen zzgl. Mwst. zulas- ten der Staatskasse."</w:t>
      </w:r>
    </w:p>
    <w:p>
      <w:r>
        <w:rPr>
          <w:b/>
        </w:rPr>
        <w:t>E. 2.1</w:t>
      </w:r>
    </w:p>
    <w:p>
      <w:r>
        <w:t>Die Staatsanwaltschaft begründete die Nichtanhandnahme im Wesentlichen damit, dass die Beschwerdeführerin in ihren allgemeinen Verkaufs- und Lieferbe-</w:t>
      </w:r>
    </w:p>
    <w:p>
      <w:r>
        <w:t>- 5 - dingungen zwar einen Eigentumsvorbehalt zugunsten ihrer Verkaufsgegenstände vorgesehen habe. Dieser habe jedoch mangels gleichzeitiger Eintragung im Be- treibungsregister keine Wirksamkeit entfaltet. Indem die Beschwerdeführerin am 28. September 2023 die verbliebenen zwölf Wärmepumpen vertragsgemäss der E._____ AG (nachfolgend: E._____ AG) geliefert habe, sei das Eigentum an den Wärmepumpen auf diese übergegangen. Ab diesem Zeitpunkt seien die Wärme- pumpen nicht mehr fremd und eine Veruntreuung derselben ausgeschlossen ge- wesen. Daran ändere auch nichts, dass die Beschwerdeführerin im Nachhinein und damit verspätet einen Eigentumsvorbehalt habe eintragen lassen. Weitere mögliche Straftatbestände seien nicht ersichtlich. Die Voraussetzungen für die Er- öffnung einer Untersuchung seien damit nicht gegeben, weshalb auf die Strafan- zeige nicht einzutreten und die Untersuchung nicht anhand zu nehmen sei (Urk. 3/1 S. 1 ff.).</w:t>
      </w:r>
    </w:p>
    <w:p>
      <w:r>
        <w:rPr>
          <w:b/>
        </w:rPr>
        <w:t>E. 2.2</w:t>
      </w:r>
    </w:p>
    <w:p>
      <w:r>
        <w:t>Dem liess die Beschwerdeführerin im Wesentlichen entgegenhalten, dass die E._____ AG bezüglich den zwölf von ihr unbezahlt gebliebenen Wärmepum- pen zwar die Verrechnung mit Forderungen ihrerseits geltend gemacht habe. Eine Verrechnung sei jedoch gemäss den einschlägigen Grundlagen ausgeschlossen, weshalb die Verrechnungserklärung der E._____ AG nicht zum Untergang ihrer Forderung aus der Lieferung der 12 Wärmepumpen führe. Zudem bestünden die von der E._____ AG geltend gemachten Gegenforderungen nicht. Ihre allgemei- nen Verkaufs- und Lieferbedingungen sähen einen Eigentumsvorbehalt für gelie- ferte Produkte bis zu deren vollständigen Bezahlung vor und sie habe gegenüber der E._____ AG am 25. Januar 2024 den Teilrücktritt bezüglich den 12 Wärme- pumpen erklärt. Zudem habe sie explizit darauf hingewiesen, dass die 12 Wärme- pumpen nicht veräussert werden dürften, weil sie den Eigentumsvorbehalt daran geltend mache. Dennoch habe die E._____ AG am 29. Januar 2024 erklärt, die fraglichen Wärmepumpen veräussert zu haben, weil im fraglichen Zeitpunkt der Eigentumsvorbehalt noch nicht eingetragen gewesen sei. Weil "die Täterschaft" jedoch davon ausgegangen sei oder in Kauf genommen habe, dass der Eigen- tumsvorbehalt inzwischen registriert worden sei und sich vor der Veräusserung nicht über den mangelnden Eintrag vergewissert habe, sei von einer versuchten Veruntreuung auszugehen. Sie habe mit ihrer Strafanzeige dargelegt, dass die</w:t>
      </w:r>
    </w:p>
    <w:p>
      <w:r>
        <w:t>- 6 - Voraussetzungen der versuchten Veruntreuung gegeben seien. Insbesondere, dass die Veräusserung einer Kaufsache, bevor der Eigentumsvorbehalt ins Regis- ter eingetragen worden sei, ein Versuch darstelle. Damit habe sie ohne Zweifel auch den für die Eröffnung eines Strafverfahrens erforderliche Anfangstatverdacht begründet. Dass eine Strafbarkeit eindeutig nicht gegeben sei, treffe entgegen der Staatsanwaltschaft nicht zu. Es wäre vielmehr in Anwendung des Prinzips "in du- bio pro duriore" eine Strafuntersuchung zu eröffnen und der Sachverhalt abzuklä- ren gewesen (Urk. 2 S. 5 ff.).</w:t>
      </w:r>
    </w:p>
    <w:p>
      <w:r>
        <w:rPr>
          <w:b/>
        </w:rPr>
        <w:t>E. 3</w:t>
      </w:r>
    </w:p>
    <w:p>
      <w:r>
        <w:t>Mit Präsidialverfügung vom 24. Juli 2024 wurde der Beschwerdeführerin Frist angesetzt, um zur Frage der Fristwahrung bzw. Rechtzeitigkeit der Be- schwerde Stellung zu nehmen; gleichzeitig wurde ihr aufgegeben, eine Prozess- kaution von einstweilen Fr. 1'800.‒ zu leisten (Urk. 11). Die Prozesskaution wurde am 29. Juli 2024 geleistet (Urk. 13) und mit Eingabe vom 26. Juli 2024 liess die Beschwerdeführerin Stellung nehmen (Urk. 14). Mit weiterer Präsidialverfügung vom 5. August 2024 wurden die Beschwerdeschrift und die Stellungnahme der Staatsanwaltschaft zur Vernehmlassung übermittelt (Urk. 17). Mit Eingabe vom 13. August 2024 verzichtete die Staatsanwaltschaft ausdrücklich darauf, eine Stellungnahme einzureichen (Urk. 19). Das Verfahren erweist sich als spruchreif.</w:t>
      </w:r>
    </w:p>
    <w:p>
      <w:r>
        <w:t>- 3 -</w:t>
      </w:r>
    </w:p>
    <w:p>
      <w:r>
        <w:rPr>
          <w:b/>
        </w:rPr>
        <w:t>E. 3.1</w:t>
      </w:r>
    </w:p>
    <w:p>
      <w:r>
        <w:t>Nach Art. 138 Ziff. 1 Abs. 1 StGB macht sich der Veruntreuung strafbar, wer sich eine ihm anvertraute fremde bewegliche Sache aneignet, um sich oder einen andern damit unrechtmässig zu bereichern. Die Fremdheit der Sache beurteilt sich streng nach zivilrechtlichen Kriterien. Sachen müssen im Zeitpunkt der Über- tragung im Eigentum des Treugebers stehen. Zur Übertragung des Fahrniseigen- tums bedarf es des Überganges des Besitzes auf den Erwerber (Art. 714 Abs. 1 ZGB). Der Vorbehalt des Eigentums an einer dem Erwerber übertragenen beweg- lichen Sache ist nur dann wirksam, wenn er an dessen jeweiligem Wohnort in ei- nem vom Betreibungsbeamten zu führenden öffentlichen Register eingetragen ist (Art. 715 Abs. 1 ZGB). In subjektiver Hinsicht erfordert der Tatbestand der Verun- treuung Vorsatz und ein Handeln in unrechtmässiger Bereicherungsabsicht (TRECHSEL/CRAMERI, in: Trechsel/Pieth [Hrsg.], Schweizerisches Strafgesetzbuch,</w:t>
      </w:r>
    </w:p>
    <w:p>
      <w:r>
        <w:rPr>
          <w:b/>
        </w:rPr>
        <w:t>E. 3.2</w:t>
      </w:r>
    </w:p>
    <w:p>
      <w:r>
        <w:t>Betreffend den Vorwurf der (versuchten) Veruntreuung im Zusammenhang mit den 12 an die E._____ AG gelieferten Wärmepumpen, vertritt die Beschwer- deführerin im Wesentlichen den Standpunkt, dass der Tatbestand erfüllt sei, weil die E._____ AG bzw. die unbekannte Täterschaft die Wärmepumpen weiterver-</w:t>
      </w:r>
    </w:p>
    <w:p>
      <w:r>
        <w:t>- 7 - kauft habe, bevor der Eigentumsvorbehalt ins Register eingetragen worden sei (Urk. 2 S. 8 und Urk. 7/1 S. 10 ff.). Mit den von der Beschwerdeführerin mit ihrer Strafanzeige eingereichten Unterlagen ist zwar belegt, dass sie die 12 Wärme- pumpen am 28. September 2023 an die E._____ AG lieferte (Urk. 7/2/11-13). Auch, dass sie der E._____ AG, welche Gegenforderungen geltend gemacht habe, mit Schreiben vom 11. Januar 2024 eine Nachfrist zur Begleichung der Rechnung ansetzte (Urk. 7/2/15) bzw. am 25. Januar 2024 vom Vertrag zurücktrat mit dem Hinweis, dass der Weiterverkauf der 12 Wärmepumpen nicht erlaubt sei (Urk. 7/2/16). Daraus, wie auch aus den weiteren, von der Beschwerdeführerin eingereichten Unterlagen (Urk. 7/2/1-18), ergeben sich jedoch ‒ entgegen ihrer Ansicht ‒ mangels Fremdheit der 12 an die E._____ AG verkauften und an diese gelieferten Wärmepumpen keine Anhaltspunkte für eine Strafbarkeit nach Art. 138 Ziff. 1 Abs. 1 (i.V.m. Art. 22 Abs. 1) StGB. Wie bereits die Staatsanwaltschaft in der angefochtenen Verfügung zutreffend ausführte, entfaltete der in den allgemei- nen Verkaufs- und Lieferbedingungen der Beschwerdeführerin enthaltene Eigen- tumsvorbehalt mangels gleichzeitiger Eintragung im Eigentumsvorbehaltsregister keine Wirksamkeit (vgl. Urk. 3/1 S. 2 und Art. 715 Abs. 1 ZGB). Entsprechend ist auch im Weiterverkauf der 12 Wärmepumpen durch die E._____ AG im Dezem- ber 2023 kein strafbares Verhalten zu sehen (vgl. Urk. 7/2/17 und Art. 714 Abs. 1 ZGB), erfolgte die Eintragung dieser 12 Wärmepumpen durch die Beschwerde- führerin doch erst am 28. März 2024 (Urk. 7/2/18) und damit Monate verspätet. Auch Hinweise dafür, dass die E._____ AG bzw. deren Geschäftsführer F._____ bereits im Zeitpunkt des Weiterverkaufs im Dezember 2023 mit der Eintragung ei- nes Eigentumsvorbehalts durch die Beschwerdeführerin hätte rechnen müssen bzw. gar Kenntnis davon gehabt hätte, bestehen nicht. Entgegen der Behauptung der Beschwerdeführerin wies sie die E._____ AG mit ihrem Schreiben vom 25. Januar 2024 in diesem Zusammenhang auch nicht etwa darauf hin, dass die 12 Wärmepumpen nicht veräussert werden dürften, weil sie den Eigentumsvorbe- halt daran geltend mache (vgl. Urk. 7/2/16 S. 1 f.), zumal auch dies ‒ mangels Eintragung ‒ nichts an der fehlenden Wirksamkeit geändert hätte. Sodann ist we- der begründet noch ersichtlich, inwiefern die E._____ AG bzw. deren Geschäfts- führer F._____ Abklärungspflichten im Zusammenhang mit dem (wirkungslosen)</w:t>
      </w:r>
    </w:p>
    <w:p>
      <w:r>
        <w:t>- 8 - Eigentumsvorbehalt verletzt haben sollten. Angesichts des Umstands, dass sich die E._____ AG bzw. deren Geschäftsführer selbst gemäss Schilderung der Be- schwerdeführerin aufgrund von Gegenforderungen und unter Geltendmachung des Verrechnungsrechts (vgl. Urk. 7/1 S. 8 f. und Urk. 2 S. 5) offensichtlich als be- rechtigt erachtete, die 12 Wärmepumpen weiterzuverkaufen, liegen auch keine Anhaltspunkte für ein vorsätzliches bzw. eventualvorsätzliches Vorgehen im Sinne von Art. 12 Abs. 2 StGB vor. Eine Strafbarkeit der E._____ AG bzw. deren Geschäftsführer F._____ wegen (versuchter) Veruntreuung im Sinne von Art. 138 Ziff. 1 Abs. 1 (i.V.m. Art. 22 Abs. 1) StGB ist unter diesen Umständen ausge- schlossen. Es ist damit nicht zu beanstanden, dass die Staatsanwaltschaft ent- schied, es lasse sich kein hinreichender Tatverdacht einer Veruntreuung ableiten, der die Eröffnung einer Strafuntersuchung rechtfertigte. Dies führt zur Abweisung der Beschwerde. IV. 1. Ausgangsgemäss sind die Kosten des Beschwerdeverfahrens der Be- schwerdeführerin aufzuerlegen (Art. 428 Abs. 1 StPO). Die Gerichtsgebühr ist in Anwendung von § 17 Abs. 1 i. V. m. § 2 Abs. 1 lit. b–d GebV OG angesichts der Bedeutung und der Schwierigkeit des Falls sowie des Zeitaufwandes des Gerichts auf Fr. 1'400.– festzusetzen und der Beschwerdeführerin aufzuerlegen. 2. Die Beschwerdeführerin hat für das Beschwerdeverfahren eine Sicherheits- leistung für allfällige Kosten und Entschädigungen von Fr. 1'800.– bezahlt (Urk. 12). Die der Beschwerdeführerin auferlegte Gerichtsgebühr (Fr. 1'400.–) ist von der Sicherheitsleistung zu beziehen. Im Restbetrag (Fr. 400.–) ist die Sicher- heitsleistung der Beschwerdeführerin nach Ablauf der Rechtsmittelfrist bzw. nach Erledigung alfälliger Rechtsmittelverfahren zurückzuerstatten, unter Vorbehalt des staatlichen Verrechnungsrechts. Aufgrund ihres Unterliegens ist der Beschwerde- führerin keine Entschädigung auszurichten.</w:t>
      </w:r>
    </w:p>
    <w:p>
      <w:r>
        <w:t>- 9 - Es wird beschlossen:</w:t>
      </w:r>
    </w:p>
    <w:p>
      <w:r>
        <w:rPr>
          <w:b/>
        </w:rPr>
        <w:t>E. 4</w:t>
      </w:r>
    </w:p>
    <w:p>
      <w:r>
        <w:t>Aufl. 2021, N 3 zu Art. 138 StGB). Ein Versuch liegt vor, wenn der Täter sämtli- che subjektiven Tatbestandsmerkmale erfüllt und seine Tatentschlossenheit mani- festiert hat, ohne dass alle objektiven Tatbestandsmerkmale verwirklicht sind (BGE 140 IV 150 E. 3.4; 137 IV 113 E. 1.4.2 und 131 IV 100 E. 7.2.1; je mit Hin- weisen). Zum Versuch gehört folglich der Entschluss des Täters, eine Straftat zu begehen, und die Umsetzung dieses Tatentschlusses in eine Handlung. Der Täter muss mit der Ausführung der Tat begonnen haben (BGE 140 IV 150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