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UE240203 vom 7. November 2025</w:t>
      </w:r>
    </w:p>
    <w:p>
      <w:r>
        <w:t>ZH Obergericht, 2025-11-07, DE</w:t>
      </w:r>
    </w:p>
    <w:p>
      <w:r>
        <w:rPr>
          <w:b/>
        </w:rPr>
        <w:t xml:space="preserve">Quelle: </w:t>
      </w:r>
      <w:r>
        <w:t>https://mcp.opencaselaw.ch/entscheid/zh_obergericht_UE240203</w:t>
      </w:r>
    </w:p>
    <w:p>
      <w:r>
        <w:t>FR: ZH_OBERGERICHT UE240203 du 7 novembre 2025</w:t>
      </w:r>
    </w:p>
    <w:p>
      <w:r>
        <w:t>IT: ZH_OBERGERICHT UE240203 del 7 novembre 2025</w:t>
      </w:r>
    </w:p>
    <w:p>
      <w:pPr>
        <w:pStyle w:val="Heading2"/>
      </w:pPr>
      <w:r>
        <w:t>Erwägungen</w:t>
      </w:r>
    </w:p>
    <w:p>
      <w:r>
        <w:rPr>
          <w:b/>
        </w:rPr>
        <w:t>E. 1</w:t>
      </w:r>
    </w:p>
    <w:p>
      <w:r>
        <w:t>Am 18. Juli 2023 liess A._____ (nachfolgend: Beschwerdeführer) Strafan- zeige gegen B._____ und C._____ (nachfolgend: Beschwerdegegner 1 und 2) einreichen (Urk. 15/1/2). Mit zwei Verfügungen vom 27. Mai 2024 stellte die Staatsanwaltschaft Limmattal/Albis (nachfolgend: Staatsanwaltschaft) das Verfah- ren gegen die Beschwerdegegner 1 und 2 betreffend Betrug ein (Urk. 3/2).</w:t>
      </w:r>
    </w:p>
    <w:p>
      <w:r>
        <w:rPr>
          <w:b/>
        </w:rPr>
        <w:t>E. 2</w:t>
      </w:r>
    </w:p>
    <w:p>
      <w:r>
        <w:t>Unter Kosten- und Entschädigungsfolgen zu Lasten des Staates."</w:t>
      </w:r>
    </w:p>
    <w:p>
      <w:r>
        <w:rPr>
          <w:b/>
        </w:rPr>
        <w:t>E. 3</w:t>
      </w:r>
    </w:p>
    <w:p>
      <w:r>
        <w:t>In der Strafanzeige liess der Beschwerdeführer geltend machen, er sei Inha- ber und Geschäftsführer der D._____ AG (früher E._____ GmbH; Urk. 15/1/2 S. 3; vgl. auch Urk. 15/1/3/1). Er habe einen internationalen Geld-Transferdienst aufbauen wollen (E._____ Project). Da er selbst keine vertieften IT-Kenntnisse</w:t>
      </w:r>
    </w:p>
    <w:p>
      <w:r>
        <w:t>- 4 - besitze, habe er sich an den Beschwerdegegner 2, IT-Spezialist und Inhaber der F._____ SA, gewandt. Dieser habe ihm vorgeschlagen, den Geld-Transferdienst basierend auf der Blockchain-Technologie zu erstellen, woraufhin er ihm den Be- schwerdegegner 1 als Blockchain-Spezialisten präsentiert habe. Dieser sei u.a. Gesellschafter/Verwaltungsratspräsident der G._____ Sagl in liquidazione und der H._____ AG in Liquidation (Urk. 2 S. 3 f.).</w:t>
      </w:r>
    </w:p>
    <w:p>
      <w:r>
        <w:rPr>
          <w:b/>
        </w:rPr>
        <w:t>E. 4</w:t>
      </w:r>
    </w:p>
    <w:p>
      <w:r>
        <w:t>Die Offerten und Rechnungen betreffend das E._____ Project waren an die E._____ GmbH adressiert (vgl. Urk. 15/1/3/10, vgl. auch Urk. 15/6/4/2). Ferner befindet sich eine Vertraulichkeitsvereinbarung zwischen der E._____ GmbH und der F._____ SA in den Akten (Urk. 15/4/3/1). Allfällige unmittelbare Geschädigte aus einem allfälligen strafbaren Verhalten der Beschwerdegegner 1 und/oder 2 im Zusammenhang mit dem E._____ Project wäre mithin die D._____ AG bzw. frü- here E._____ GmbH und nicht der Beschwerdeführer persönlich. Ein unmittelba- rer Schaden des Beschwerdeführers ergibt sich auch nicht aus den Ausführungen in der Beschwerdeschrift. Der Beschwerdeführer hat jedoch im eigenen Namen und nicht im Namen der D._____ AG (früher E._____ GmbH) Beschwerde erho- ben. Dieser wäre durch ein allfälliges strafbares Verhalten der Beschwerdegegner 1 und/oder 2 selber nicht unmittelbar, sondern lediglich mittelbar geschädigt. Daran vermag nichts zu ändern, dass er die Überweisungen an die Beschwerde- gegner 1 und/oder 2 bzw. deren Unternehmen von privaten Konten getätigt hat (vgl. Urk. 15/1/3/11, Urk. 15/6/4/3).</w:t>
      </w:r>
    </w:p>
    <w:p>
      <w:r>
        <w:rPr>
          <w:b/>
        </w:rPr>
        <w:t>E. 5</w:t>
      </w:r>
    </w:p>
    <w:p>
      <w:r>
        <w:t>Der Beschwerdeführer ist somit nicht beschwerdelegitimiert, weshalb auf die Beschwerde nicht einzutreten ist. III. 1. Bei diesem Ausgang des Verfahrens hat der Beschwerdeführer die Kosten des Beschwerdeverfahrens zu tragen (Art. 428 Abs. 1 StPO). In Anwendung von § 17 Abs. 1 der Gebührenverordnung des Obergerichts (GebV OG) ist die Ge- richtsgebühr auf Fr. 1'000.– festzusetzen und mit der geleisteten Kaution zu ver- rechnen. Im Mehrbetrag ist die Kaution dem Beschwerdeführer zurückzuerstatten, vorbehältlich allfälliger Verrechnungsansprüche des Staates.</w:t>
      </w:r>
    </w:p>
    <w:p>
      <w:r>
        <w:t>- 5 - 2. Der obsiegende Beschwerdegegner 2 war im Beschwerdeverfahren anwalt- lich vertreten. Er hat Anspruch auf Entschädigung seiner Aufwendungen (Art. 436 Abs. 1 i. V. m. Art. 429 Abs. 1 lit. a StPO). Er liess weder eine Honorarnote einrei- chen noch einen konkreten Antrag stellen. Die Entschädigung richtet sich nach der Verordnung über die Anwaltsgebühren (vgl. § 1 Abs. 1 AnwGebV). In Anwen- dung von § 19 Abs. 1 i. V. m. § 2 Abs. 1 AnwGebV erscheint eine Entschädigung von Fr. 100.– angemessen. Der Beschwerdegegner 2 ist aus der Gerichtskasse zu entschädigen (BGE 147 IV 47 E. 4.2.6). 3. Der Beschwerdegegner 1 liess sich nicht vernehmen. Mangels wesentlicher Umtriebe ist ihm somit für das Beschwerdeverfahren keine Entschädigung zuzu- sprechen (Art. 436 StPO in Verbindung mit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