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UE240141 vom 21. Juni 2024</w:t>
      </w:r>
    </w:p>
    <w:p>
      <w:r>
        <w:t>ZH Obergericht, 2024-06-21, DE</w:t>
      </w:r>
    </w:p>
    <w:p>
      <w:r>
        <w:rPr>
          <w:b/>
        </w:rPr>
        <w:t xml:space="preserve">Quelle: </w:t>
      </w:r>
      <w:r>
        <w:t>https://mcp.opencaselaw.ch/entscheid/zh_obergericht_UE240141</w:t>
      </w:r>
    </w:p>
    <w:p>
      <w:r>
        <w:t>FR: ZH_OBERGERICHT UE240141 du 21 juin 2024</w:t>
      </w:r>
    </w:p>
    <w:p>
      <w:r>
        <w:t>IT: ZH_OBERGERICHT UE240141 del 21 giugno 2024</w:t>
      </w:r>
    </w:p>
    <w:p>
      <w:pPr>
        <w:pStyle w:val="Heading2"/>
      </w:pPr>
      <w:r>
        <w:t>Erwägungen</w:t>
      </w:r>
    </w:p>
    <w:p>
      <w:r>
        <w:rPr>
          <w:b/>
        </w:rPr>
        <w:t>E. 1</w:t>
      </w:r>
    </w:p>
    <w:p>
      <w:r>
        <w:t>Am 4. Dezember 2023 erstattete A._____ (nachfolgend: Beschwerdeführer) bei der Staatsanwaltschaft See/Oberland (nachfolgend: Staatsanwaltschaft) Straf- anzeige gegen B._____ (nachfolgend: Beschwerdegegnerin 1) wegen Betrugs und Urkundenfälschung. Der Beschwerdeführer und dessen Ehefrau sowie die Be- schwerdegegnerin 1 bilden eine Stockwerkeigentümergemeinschaft am C._____ … [Adresse] in D._____. Zudem besteht eine Miteigentümergemeinschaft u.a. bezüglich der Garagenplätze der Überbauung. Im Zusammenhang mit den Ab- rechnungen der Stockwerk- und Miteigentümergemeinschaft wirft der Beschwerde- führer der Beschwerdegegnerin 1 vor, sie habe sich der "Manipulation von Belegen" schuldig gemacht und private Rechnungen in die Buchhaltung der Stockwerkeigen- tümerschaft "hineingeschmuggelt" resp. Belege für die Jahresrechnungen mehr- fach verwendet, um sich unrechtmässig zu bereichern (Urk. 17/2.1 und 17/3). Be- treffend denselben Sachverhaltskomplex läuft gegen den Beschwerdeführer ein Strafverfahren wegen Ehrverletzungsdelikten.</w:t>
      </w:r>
    </w:p>
    <w:p>
      <w:r>
        <w:rPr>
          <w:b/>
        </w:rPr>
        <w:t>E. 2</w:t>
      </w:r>
    </w:p>
    <w:p>
      <w:r>
        <w:t>Mit Verfügung vom 9. April 2024 stellte die Staatsanwaltschaft die gegen die Beschwerdegegnerin 1 geführte Strafuntersuchung ein (Urk. 7).</w:t>
      </w:r>
    </w:p>
    <w:p>
      <w:r>
        <w:rPr>
          <w:b/>
        </w:rPr>
        <w:t>E. 3</w:t>
      </w:r>
    </w:p>
    <w:p>
      <w:r>
        <w:t>Hiergegen erhob der Beschwerdeführer am 16. April 2024 Beschwerde mit dem sinngemässen Antrag, die angefochtene Verfügung sei aufzuheben und das Strafverfahren gegen die Beschwerdegegnerin 1 sei weiterzuführen (Urk. 3).</w:t>
      </w:r>
    </w:p>
    <w:p>
      <w:r>
        <w:rPr>
          <w:b/>
        </w:rPr>
        <w:t>E. 4</w:t>
      </w:r>
    </w:p>
    <w:p>
      <w:r>
        <w:t>Mit Verfügung vom 29. April 2024 wurde dem Beschwerdeführer aufgegeben, zur Deckung der ihn allfällig treffenden Prozesskosten eine Prozesskaution zu lei- sten, welche Zahlung innert Frist einging (Urk. 8; Urk. 11). Am 10. Mai ging sodann eine unaufgeforderte Eingabe des Beschwerdeführers ein (Urk. 12). Diese sowie die Beschwerdeschrift wurden der Staatsanwaltschaft und der Beschwerdegegne- rin 1 zur (freigestellten) Stellungnahme übermittelt (Urk. 15). Die Staatsanwalt- schaft liess sich mit Eingabe vom 17. Mai 2024 vernehmen (Urk. 18), die Beschwer- degegnerin 1 mit Eingabe vom 27. Mai 2024 (Urk. 20). Nach Zustellung dieser Ver-</w:t>
      </w:r>
    </w:p>
    <w:p>
      <w:r>
        <w:t>- 3 - nehmlassungen an den Beschwerdeführer zur freigestellten Replik (Urk. 23) äus- serte sich dieser mit Eingabe vom 5. Juni 2024 (Urk. 25). Die Untersuchungsakten wurden beigezogen (Urk. 17). Damit erweist sich das Verfahren als spruchreif.</w:t>
      </w:r>
    </w:p>
    <w:p>
      <w:r>
        <w:rPr>
          <w:b/>
        </w:rPr>
        <w:t>E. 5</w:t>
      </w:r>
    </w:p>
    <w:p>
      <w:r>
        <w:t>Die Beschwerdegegnerin 1 lässt zusammengefasst vorbringen, die Einwände des Beschwerdeführers erschöpften sich grossmehrheitlich in aktenwidrigen und unangebrachten Unterstellungen an die Adresse der Staatsanwältin. Er zeige nicht auf, was an der Begründung der angefochtenen Verfügung unzutreffend oder rechtsfehlerhaft sein könnte. Ein Streit über die Frage, wer sich in welchem Umfang an der Bezahlung von Rechnungen zu beteiligen habe, sei von vornherein nicht strafrechtlich relevant. Entgegen der Behauptung des Beschwerdeführers habe die Staatsanwältin in der angefochtenen Verfügung auf beinahe drei Seiten dargelegt, weshalb der Betrugsvorwurf unbegründet sei. Weiter behaupte der Beschwerde- führer völlig verfehlt, die Staatsanwältin mache "FAKE in Sachverhalt", um ihn an- geblich zu "attackieren." Sein Antrag auf Befragung von RA Y._____ sei nicht nach- vollziehbar, habe dieser doch weder vor Gericht noch anderweitig je etwas vorge- bracht, was die tatsachenwidrige Sachdarstellung des Beschwerdeführers stützen würde. Zudem habe die Staatsanwaltschaft die Sachdarstellung von RA Y._____ im Zivilprozess geprüft und auch gestützt darauf die Einstellungsverfügung erlas- sen. Der Beschwerdeführer gebe den Sachverhalt unzutreffend und völlig verzerrt bzw. aktenwidrig wieder (Urk. 20).</w:t>
      </w:r>
    </w:p>
    <w:p>
      <w:r>
        <w:rPr>
          <w:b/>
        </w:rPr>
        <w:t>E. 6</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w:t>
      </w:r>
    </w:p>
    <w:p>
      <w:r>
        <w:t>- 9 - die Staatsanwaltschaft, ob ein Strafbefehl zu erlassen, Anklage zu erheben oder das Verfahren einzustellen ist (Art. 318 StPO). Eine vollständige oder teilweise Ein- stellung erfolgt nach Art. 319 Abs. 1 StPO u.a.,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 satz "in dubio pro duriore" verlangt lediglich, dass bei Zweifeln (über die Straflosig- 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2023, Art. 319 N 5).</w:t>
      </w:r>
    </w:p>
    <w:p>
      <w:r>
        <w:t>- 10 -</w:t>
      </w:r>
    </w:p>
    <w:p>
      <w:r>
        <w:rPr>
          <w:b/>
        </w:rPr>
        <w:t>E. 7.1</w:t>
      </w:r>
    </w:p>
    <w:p>
      <w:r>
        <w:t>Die Staatsanwaltschaft hat in der angefochtenen Verfügung einlässlich und überzeugend begründet, aus welchen Gründen keine Anhaltspunkte für ein straf- rechtlich relevantes Verhalten der Beschwerdegegnerin 1 ersichtlich seien. So hat sie unter Bezugnahme auf die einzelnen vom Beschwerdeführer beanstandeten Rechnungen dargelegt, dass es sich dabei gemäss dem darauf vermerkten Betreff und der Art der verrechneten Leistungen – in Übereinstimmung mit den glaubhaften Ausführungen der Beschwerdegegnerin 1 – tatsächlich um klassische Leistungen für die Stockwerkeigentümergemeinschaft handle. Ebenso setzte sich die Staats- anwältin hinlänglich mit dem Vorwurf der angeblichen doppelten Verwendung von Rechnungen (in den Worten des Beschwerdeführers: "Manipulation von Belegen") auseinander. Auch insoweit förderte die Untersuchung indes keine Hinweise für ein strafrechtlich relevantes Verhalten der Beschwerdegegnerin 1 zutage.</w:t>
      </w:r>
    </w:p>
    <w:p>
      <w:r>
        <w:rPr>
          <w:b/>
        </w:rPr>
        <w:t>E. 7.2</w:t>
      </w:r>
    </w:p>
    <w:p>
      <w:r>
        <w:t>Mit diesen Erwägungen setzt sich der Beschwerdeführer nicht substantiiert auseinander. Vielmehr beschränkt er sich darauf, der Sichtweise der Staatsanwalt- schaft seine eigene Sachdarstellung gegenüberzustellen, ohne dass er diese mit konkreten Sachbeweisen zu untermauern vermöchte. Mit seinen (weitschweifigen und repetitiven) Ausführungen vermag der Beschwerdeführer mithin nicht aufzuzei- gen, inwiefern die Schlussfolgerungen der Staatsanwaltschaft unzutreffend sein sollten. Hinsichtlich der vom Beschwerdeführer beanstandeten Rechnung der E._____ ergibt sich im Übrigen aus dem Protokoll der ordentlichen Eigentümerver- sammlung vom 1. Juni 2021 klar, dass die Verwaltung einen Gärtner engagieren werde, welcher sich um die allgemeine Fläche kümmere (Urk. 17/8.2.1, letzte Seite). Mithin gibt es entgegen der Meinung des Beschwerdeführers sehr wohl eine gemeinsame Gartenfläche, für deren Bewirtschaftung die Stockwerkeigentümer gemeinsam aufkommen. Wie die Staatsanwaltschaft weiter zu Recht festhielt, han- delt es sich bei der in Frage stehenden Auseinandersetzung um Rechnungen der Stockwerkeigentümerschaft bzw. die von den einzelnen Stockwerkeigentümern zu leistenden Beiträge in erster Linie um eine zivilrechtliche Angelegenheit, welche mit den entsprechenden Rechtsbehelfen zu klären ist, wohingegen nicht ersichtlich ist, inwiefern sich die Beschwerdegegnerin 1 strafbar gemacht haben könnte. Mit Be- zug auf den Vorwurf des (versuchten) Betrugs verkennt der Beschwerdeführer of-</w:t>
      </w:r>
    </w:p>
    <w:p>
      <w:r>
        <w:t>- 11 - fensichtlich, dass die eingesetzte Verwaltung (zunächst die F._____ GmbH in G._____ und später dann die H._____ GmbH), welche für die Buchhaltung der Stockwerkeigentümergemeinschaft (sowie für die Kostenaufteilung unter den Stockwerkeigentümern) zuständig war, jeweils die angefallenen Rechnungen zur Bezahlung übermittelt erhielt. Hätte die Beschwerdegegnerin 1 der Verwaltung pri- vate Rechnungen vorgelegt, so ist bei lebensnaher Betrachtung ohne Weiteres da- von auszugehen, dass dies der Verwaltung aufgefallen wäre und diese interveniert hätte, wäre es ihr doch problemlos möglich gewesen, den jeweiligen Zahlungs- zweck zu überprüfen. Ebenso wenig wären allfällige Unregelmässigkeiten in der Jahresrechnung der Stockwerkeigentümergemeinschaft unbemerkt geblieben. Un- ter diesen Umständen fällt ein arglistiges Verhalten der Beschwerdegegnerin 1 im Sinne des Betrugstatbestands ausser Betracht. Eine Fälschung von Belegen, wel- che gegebenenfalls ein arglistiges Vorgehen der Beschwerdegegnerin 1 zu be- gründen vermöchte, macht der Beschwerdeführer sodann nicht geltend und ist auch nicht ersichtlich. Wenn dieser der fallführenden Staatsanwältin sodann die Fachkompetenz im Bereich Rechnungswesen abspricht, vermag er aus dieser Be- hauptung ebenfalls nichts zu seinen Gunsten abzuleiten.</w:t>
      </w:r>
    </w:p>
    <w:p>
      <w:r>
        <w:rPr>
          <w:b/>
        </w:rPr>
        <w:t>E. 7.3</w:t>
      </w:r>
    </w:p>
    <w:p>
      <w:r>
        <w:t>Wenn der Beschwerdeführer weiter moniert, die Staatsanwaltschaft habe das Vorliegen einer Urkundenfälschung verneint, obschon er diesen Tatvorwurf in sei- ner Strafanzeige gar nicht erhoben habe, ist ihm Folgendes entgegenzuhalten: Die geltend gemachte "Manipulation von Belegen" ist kein Straftatbestand. Folglich kam die Staatsanwaltschaft nicht umhin, diesen Vorwurf unter sämtlichen in Frage kommenden Straftatbeständen zu prüfen. Folgerichtig erwähnte sie in diesem Zu- sammenhang auch den Tatbestand der Urkundenfälschung (mit dem ausdrückli- chen Hinweis, dass der Beschwerdeführer diesen Vorwurf nicht erhoben habe, vgl. Urk. 7 S. 8), was umso mehr naheliegend ist, als aus den teilweise schwer ver- ständlichen Vorbringen des Beschwerdeführers nicht restlos klar wurde, ob er der Beschwerdegegnerin 1 (nebst der angeblichen doppelten Verwendung von Rech- nungen) auch die Fälschung von Belegen unterstellt. Der Vollständigkeit halber ist sodann festzuhalten, dass die fallführende Staatsanwältin dem Beschwerdeführer – entgegen dessen Ansicht – nie unterstellt hat, dass er in der Vergangenheit (seit 2019) weder Beiträge an die Stockwerkeigentümergemeinschaft noch Akontozah-</w:t>
      </w:r>
    </w:p>
    <w:p>
      <w:r>
        <w:t>- 12 - lungen geleistet habe. Vielmehr gab die Staatsanwältin diesbezüglich einzig die Aussagen der Beschwerdegegnerin 1 wieder (vgl. Urk. 7 S. 4). Abschliessend ist festzuhalten, dass nicht ersichtlich ist, inwiefern die vom Beschwerdeführer ver- langte Befragung von Rechtsanwalt Y._____, welcher im Zivilverfahren die Stock- werkeigentümergemeinschaft vertrat, am vorstehend Gesagten etwas zu ändern vermöchte, weshalb auch dieser Einwand ins Leere zielt.</w:t>
      </w:r>
    </w:p>
    <w:p>
      <w:r>
        <w:rPr>
          <w:b/>
        </w:rPr>
        <w:t>E. 8</w:t>
      </w:r>
    </w:p>
    <w:p>
      <w:r>
        <w:t>Somit erweist sich die Beschwerde als unbegründet und ist abzuweisen. IV. 1. Ausgangsgemäss wird der Beschwerdeführer kostenpflichtig (Art. 428 Abs. 1 StPO). Angesichts der Bedeutung und Schwierigkeit des Falls sowie des Zeitauf- wands des Gerichts und unter Berücksichtigung der überdurchschnittlich umfang- reichen und repetitiven Rechtsschriften des Beschwerdeführers ist die Gerichtsge- bühr auf Fr. 1'600.– festzusetzen (§ 17 Abs. 1 i. V. m. § 2 Abs. 1 GebV OG) und aus der Kaution zu beziehen. Im Restbetrag ist die Sicherheitsleistung dem Be- schwerdeführer nach Eintritt der Rechtskraft des vorliegenden Entscheids zurück- zuerstatten, vorbehältlich allfälliger Verrechnungsansprüche des Staates. An- spruch auf eine Entschädigung hat der Beschwerdeführer ausgangsgemäss nicht. 2. Die anwaltlich vertretene Beschwerdegegnerin 1 liess sich vernehmen und stellte Anträge. Für die damit verbundenen Aufwendungen ist sie zu entschädigen. 3. Angesichts der sich stellenden juristischen Fragen erweist sich der Fall als eher mässig anspruchsvoll. Die Beschwerdegegnerin 1 hat eine (ohne Rubrum und Anträge) rund achtseitige Stellungnahme eingereicht (Urk. 20). Es rechtfertigt sich deshalb, der obsiegenden Beschwerdegegnerin 1 für ihre Aufwendungen im Be- schwerdeverfahren eine Entschädigung von Fr. 2'000.– (inkl. Auslagen und MwSt.) zuzusprechen. Die Entschädigungspflicht trifft die Staatskasse, nachdem es sich beim Betrug i.S. von Art. 146 StGB und bei der Urkundenfälschung i.S.v. Art. 251 StGB um Offizialdelikte handelt (vgl. BGE 147 IV 47). 4. Gemäss dem am 1. Januar 2024 in Kraft getretenen Art. 429 Abs. 3 StPO ist die Entschädigung direkt dem Rechtsvertreter der Beschwerdegegnerin 1 auszu-</w:t>
      </w:r>
    </w:p>
    <w:p>
      <w:r>
        <w:t>- 13 - bezahlen (vgl. BSK-StPO-WEHRENBERG/FRANK, 3. Aufl. 2023, Art. 429 N 21; JO- SITSCH/SCHMID, PK StPO, 4. Aufl. 2023, Art. 429 N 7a).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