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UE240049 vom 26. April 2024</w:t>
      </w:r>
    </w:p>
    <w:p>
      <w:r>
        <w:t>ZH Obergericht, 2024-04-26, DE</w:t>
      </w:r>
    </w:p>
    <w:p>
      <w:r>
        <w:rPr>
          <w:b/>
        </w:rPr>
        <w:t xml:space="preserve">Quelle: </w:t>
      </w:r>
      <w:r>
        <w:t>https://mcp.opencaselaw.ch/entscheid/zh_obergericht_UE240049</w:t>
      </w:r>
    </w:p>
    <w:p>
      <w:r>
        <w:t>FR: ZH_OBERGERICHT UE240049 du 26 avril 2024</w:t>
      </w:r>
    </w:p>
    <w:p>
      <w:r>
        <w:t>IT: ZH_OBERGERICHT UE240049 del 26 aprile 2024</w:t>
      </w:r>
    </w:p>
    <w:p>
      <w:pPr>
        <w:pStyle w:val="Heading2"/>
      </w:pPr>
      <w:r>
        <w:t>Erwägungen</w:t>
      </w:r>
    </w:p>
    <w:p>
      <w:r>
        <w:rPr>
          <w:b/>
        </w:rPr>
        <w:t>E. 1</w:t>
      </w:r>
    </w:p>
    <w:p>
      <w:r>
        <w:t>Am 27. Mai 2023 erstattete A._____ (nachfolgend: Beschwerdeführerin) Strafanzeige bei der Oberstaatsanwaltschaft des Kantons Zürich wegen Verlet- zung der Fürsorge- oder Erziehungspflicht etc., wobei sie um Einleitung einer Un- tersuchung wegen der im Schreiben vom 16. April 2023 an die Schulverwaltung B._____ und im E-Mail vom 17. April 2023 an C._____ aufgeführten möglichen Verstösse "durch die involvierten Behörden und deren Mitglieder, insbesondere Frau D._____ (KESB Winterthur-Andelfingen)" ersuchte (Urk. 7/1). Am 20. Juli 2023 überwies die Oberstaatsanwaltschaft des Kantons Zürich die Sache zur Prü- fung und weiteren Veranlassung an die Staatsanwaltschaft Winterthur/Unterland (Urk. 7/3). Am 29. Januar 2024 verfügte die Staatsanwaltschaft Winterthur/Unter- land (nachfolgend: Staatsanwaltschaft) die Nichtanhandnahme einer Strafuntersu- chung gegen Unbekannt (Urk. 5).</w:t>
      </w:r>
    </w:p>
    <w:p>
      <w:r>
        <w:rPr>
          <w:b/>
        </w:rPr>
        <w:t>E. 1.1</w:t>
      </w:r>
    </w:p>
    <w:p>
      <w:r>
        <w:t>Die Beschwerdeführerin rügt vorab in prozessualer Hinsicht, dass die Staatsanwaltschaft zu Unrecht in der angefochtenen Nichtanhandnahmeverfü- gung als beschuldigte Person "Unbekannt" aufführe (Urk. 2 S. 1). Es trifft zu, dass die Beschwerdeführerin "D._____" explizit in ihrer Strafanzeige erwähnte. Aller- dings ist auch der Staatsanwaltschaft beizupflichten, dass die Anzeige einerseits darüber hinaus die Vertreter der Schulpflege B._____ und der KESB Winterthur- Andelfingen sowie den Schulpflegepräsidenten umfasst und andererseits die An- zeige derart formuliert ist, dass sämtliche an den entsprechenden Behörden täti- gen Personen zur Anzeige gebracht werden (Urk. 5 S. 3 f.; vgl. Urk. 7/1). Dass die Beschwerdeführerin in ihrer Beschwerdeschrift geltend macht, die beschuldigte Person sei "D._____" von der KESB Winterthur-Andelfingen vermag hieran nichts zu ändern, zumal in der Folge in der Beschwerdeschrift wiederum Anschuldigun- gen gegenüber diversen Personen und Behörden erhoben werden. Ob nun ange- sichts dieser Umstände die Staatsanwaltschaft zu Recht als beschuldigte Person lediglich "Unbekannt" aufgeführt hat resp. ob sie zumindest "D._____" zusätzlich hätte aufführen sollen, kann offen gelassen werden. Denn hierdurch ist die Be- schwerdeführerin nicht beschwert. Anzumerken ist, dass sich das Rubrum im vor- liegenden Beschwerdeverfahren am Anfechtungsobjekt zu orientieren hat, wes- halb auch vorliegend "Unbekannt" im Rubrum aufgeführt ist.</w:t>
      </w:r>
    </w:p>
    <w:p>
      <w:r>
        <w:rPr>
          <w:b/>
        </w:rPr>
        <w:t>E. 1.2</w:t>
      </w:r>
    </w:p>
    <w:p>
      <w:r>
        <w:t>Weiter beanstandet die Beschwerdeführerin, das separate Verzeichnis be- treffend Privatklägerschaft und übrige Geschädigte nicht zugestellt erhalten zu ha- ben (Urk. 2 S. 1). In der angefochtenen Nichtanhandnahmeverfügung ist auf</w:t>
      </w:r>
    </w:p>
    <w:p>
      <w:r>
        <w:t>- 4 - Seite 1 festgehalten: "Privatklägerschaft und übrige Geschädigte - Gemäss sepa- ratem Verzeichnis" (Urk. 5 S. 1). In den von der Staatsanwaltschaft eingereichten Untersuchungsakten findet sich das entsprechende Verzeichnis, datierend vom 28. November 2023, im Anhang der akturierten Nichtanhandnahmeverfügung (Urk. 7/4). Sollte beim Versand der Nichtanhandnahmeverfügung an die Be- schwerdeführerin untergegangen sein, ihr den Anhang, d.h. das Geschädigten- verzeichnis, zuzustellen, wäre von einem Versehen auszugehen, welches nicht zur Aufhebung der Nichtanhandnahmeverfügung führt. Aus dem ersten Satz der Begründung der Nichtanhandnahmeverfügung geht klar hervor, wer die angeblich Geschädigte ist, nämlich die Beschwerdeführerin (Urk. 5 S. 1). Die Beschwerde- führerin ist durch den Verweis auf ein ihr nicht zugestelltes Geschädigtenverzeich- nis nicht beschwert. Es ist ihr jedoch mit dem vorliegenden Entscheid in Kopie zu- zustellen.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 füllt sind. Die Frage, ob ein Strafverfahren über eine Nichtanhandnahme erledigt werden kann, beurteilt sich nach dem aus dem Legalitätsprinzip abgeleiteten Grundsatz "in dubio pro duriore" (Art. 5 Abs. 1 BV sowie Art. 2 Abs. 1 i.V.m. Art. 319 Abs. 1 und Art. 324 Abs. 1 StPO). Danach darf eine Nichtanhandnahme durch die Staatsanwaltschaft gestützt auf Art. 310 Abs. 1 lit. a StPO nur in sach- verhaltsmässig und rechtlich klaren Fällen ergehen. Der Grundsatz "in dubio pro duriore" ist unter Würdigung der im Einzelfall gegebenen Umstände zu handha- ben (BGE 137 IV 285 E. 2.3; Urteile des Bundesgerichts 6B_573/2017 vom 11. Januar 2018 E. 5.2, 6B_810/2020 vom 14. September 2020 E. 2.1 und 6B_572/2021 vom 10. Februar 2022 E. 3.1).</w:t>
      </w:r>
    </w:p>
    <w:p>
      <w:r>
        <w:t>- 5 -</w:t>
      </w:r>
    </w:p>
    <w:p>
      <w:r>
        <w:rPr>
          <w:b/>
        </w:rPr>
        <w:t>E. 2</w:t>
      </w:r>
    </w:p>
    <w:p>
      <w:r>
        <w:t>Gegen die ihr am 21. Februar 2024 zugestellte Verfügung (Urk. 9) erhob die Beschwerdeführerin mit Eingabe vom 25. Februar 2024 fristgerecht Beschwerde und beantragte die Aufhebung der Nichtanhandnahmeverfügung und die Rück- weisung der Sache an die Staatsanwaltschaft zur Eröffnung einer Strafuntersu- chung. In prozessualer Hinsicht ersuchte sie um Gewährung der unentgeltlichen Rechtspflege inklusive Bestellung einer unentgeltlichen Rechtsvertretung (Urk. 2).</w:t>
      </w:r>
    </w:p>
    <w:p>
      <w:r>
        <w:rPr>
          <w:b/>
        </w:rPr>
        <w:t>E. 3</w:t>
      </w:r>
    </w:p>
    <w:p>
      <w:r>
        <w:t>Die Untersuchungsakten wurden beigezogen (Urk. 6, Urk. 7). Da sich die Beschwerde als offensichtlich unbegründet erweist, ist von einem Schriftenwech- sel abzusehen (Art. 390 Abs. 2 StPO).</w:t>
      </w:r>
    </w:p>
    <w:p>
      <w:r>
        <w:rPr>
          <w:b/>
        </w:rPr>
        <w:t>E. 3.1</w:t>
      </w:r>
    </w:p>
    <w:p>
      <w:r>
        <w:t>Wie zuvor ausgeführt, erstattete die Beschwerdeführerin Strafanzeige, wo- bei sie zur Begründung zusätzlich auf eingereichte Beilagen verwies. Die Staats- anwaltschaft setzte sich ausführlich mit den erhobenen Anschuldigungen ausein- ander, wobei sie die Anschuldigungen in vier Themenkomplexe (üble Nachrede / Verleumdung; Verletzung der Fürsorge- oder Erziehungspflicht /Amtsmissbrauch / ungetreue Amtsführung; Diskriminierung; Amtsgeheimnisverletzung) unterteilte (Urk. 5). In ihrer Beschwerdeschrift setzt sich die Beschwerdeführerin – soweit nachvollziehbar – einzig mit dem zweiten Themenkomplex, d.h. dem Vorwurf der Verletzung der Fürsorge- oder Erziehungspflicht / Amtsmissbrauch / ungetreuen Amtsführung auseinander. Ausführungen zu einer allfälligen beanzeigten Ehrver- letzung, Diskriminierung und Amtsgeheimnisverletzung finden sich nicht. Es ist dementsprechend davon auszugehen, dass sie diesbezüglich die Nichtanhand- nahme einer Strafuntersuchung akzeptiert.</w:t>
      </w:r>
    </w:p>
    <w:p>
      <w:r>
        <w:rPr>
          <w:b/>
        </w:rPr>
        <w:t>E. 3.2</w:t>
      </w:r>
    </w:p>
    <w:p>
      <w:r>
        <w:t>Soweit aus den eingereichten Unterlagen nachvollziehbar, ist Hintergrund der Strafanzeige, dass die Beschwerdeführerin im Schuljahr 2017/2018 die Se- kundarschule in B._____ besuchte, im Rahmen einer Krisenintervention aus der Schule herausgenommen und hernach auf dem E._____ platziert worden ist (Urk. 3/1 S. 2, Urk. 3/2 S. 1). Die Beschwerdeführerin beanstandet in diesem Zu- sammenhang unter dem Titel Verletzung der Fürsorge- oder Erziehungspflicht etc. insbesondere, dass eine Kostenübernahme für Einzelunterricht abgelehnt worden sei. Des Weiteren hätten die Behörden die sie betreffenden Empfehlun- gen der Schulpsychologin nicht befolgt (Urk. 5 S. 2). Im Rahmen des Beschwer- deverfahrens reichte die Beschwerdeführerin den Bericht des schulpsychologi- schen Dienstes vom 22. August 2018 ein. Dieser enthielt als Empfehlung Folgen- des fest: "Aktuell: Verbleib auf dem E._____ bis Unterricht eingerichtet werden kann; dann Aufbau mit Einzelunterricht; Schrittweiser Einstieg in die kleine Gruppe einer Schule, die den engen, gut strukturierten Rahmen bieten kann." (Urk. 3/1 S. 6). Aus den eingereichten Beilagen zur Beschwerdeschrift sowie den Ausführungen in der Beschwerdeschrift geht hervor, dass hernach unterschiedli- che Auffassungen über den Schulort resp. die Form des Unterrichts resp. die Kos- tentragung bestanden. Es werden verschiedentlich Entscheide angesprochen und aus der Korrespondenz geht hervor, dass wohl beide Seiten (Schulpflege, Eltern</w:t>
      </w:r>
    </w:p>
    <w:p>
      <w:r>
        <w:t>- 6 - der Beschwerdeführerin) Rechtsvertreter beizogen. Die ergangenen Entscheide wurden seitens der Beschwerdeführerin jedoch weder der Strafanzeige noch der Beschwerdeschrift beigelegt. Der genaue Sachverhalt resp. die Begründung, wes- halb den Anträgen der Beschwerdeführerin resp. von deren Eltern nicht Folge ge- leistet wurde, ist somit nicht bekannt. Festzuhalten ist jedoch, dass sämtliche Ent- scheide betreffend den Unterricht der Beschwerdeführerin, deren Platzierung und die Kostenübernahme rechtsmittelfähig waren und die Beschwerdeführerin resp. deren Eltern die entsprechenden Rechtsmittelinstanzen hätten anrufen können. Auch allfällige Verletzungen von Verfahrensvorschriften resp. Parteirechten in be- sagten Verfahren hätte die Beschwerdeführerin im Rahmen der entsprechenden Rechtsmittelverfahren rügen können. Der alleinige Umstand, wonach wohl der Beschwerdeführerin unliebsame Entscheide ergangen sind, vermag kein straf- rechtlich relevantes Verhalten von einzelnen Personen bzw. ganzen Behörden darzulegen. Selbst wenn ein gegen einen Entscheid ergriffenes Rechtsmittel gut- geheissen worden wäre bzw. wird, würde dies für sich alleine keinen Hinweis auf ein strafbares Verhalten darstellen, da nicht jedes rechtswidrige Handeln straf- rechtlich relevant ist (Urteil des Bundesgerichts 1C_3/2017 vom 14. März 2017 E. 4.4).</w:t>
      </w:r>
    </w:p>
    <w:p>
      <w:r>
        <w:rPr>
          <w:b/>
        </w:rPr>
        <w:t>E. 4</w:t>
      </w:r>
    </w:p>
    <w:p>
      <w:r>
        <w:t>Zusammenfassend verfügte die Staatsanwaltschaft zu Recht die Nichtan- handnahme einer Strafuntersuchung. Folglich ist die Beschwerde abzuweisen. Der Vollständigkeit halber ist anzumerken, dass auch nicht zu beanstanden ist, dass die Staatsanwaltschaft vor Erlass der Nichtanhandnahmeverfügung keine Ermächtigung zur Strafverfolgung im Sinne von § 148 GOG/ZH eingeholt hat (ZR 112/2013 Nr. 86). III. 1. Ausgangsgemäss sind die Kosten des Beschwerdeverfahrens der Be- schwerdeführerin aufzuerlegen (Art. 428 Abs. 1 StPO). Angesichts der Bedeutung und Schwierigkeit des Falls sowie des Aufwands des Gerichts ist die Gerichtsge- bühr für das Beschwerdeverfahren auf Fr. 800.00 festzusetzen (§ 17 Abs. 1 i.V.m. § 2 Abs. 1 lit. b - d GebV OG). Infolge Unterliegens ist der Beschwerdeführerin</w:t>
      </w:r>
    </w:p>
    <w:p>
      <w:r>
        <w:t>- 7 - keine Entschädigung zuzusprechen. Dem Gesuch der Beschwerdeführerin um Gewährung der unentgeltlichen Rechtspflege (Urk. 2 S. 6) kann wegen offensicht- licher Aussichtslosigkeit der Beschwerde – die Erfolgschancen der eingereichten Beschwerde erwiesen sich von vornherein als deutlich geringer als das Verlustri- siko – nicht entsprochen werden (vgl. Urteil des Bundesgerichts 1B_263/2015 vom 16. September 2015 E. 2.2 und E. 2.5 sowie BGE 140 V 521 E. 9.1). 2. Da der namentlich bekannten Beschuldigten D._____ die angefochtene Nichtanhandnahmeverfügung nicht zugestellt worden ist, ist auch von einer Zu- stellung des vorliegenden Beschlusses abzusehen.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