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UE240002 vom 9. Dezember 2024</w:t>
      </w:r>
    </w:p>
    <w:p>
      <w:r>
        <w:t>ZH Obergericht, 2024-12-09, DE</w:t>
      </w:r>
    </w:p>
    <w:p>
      <w:r>
        <w:rPr>
          <w:b/>
        </w:rPr>
        <w:t xml:space="preserve">Quelle: </w:t>
      </w:r>
      <w:r>
        <w:t>https://mcp.opencaselaw.ch/entscheid/zh_obergericht_UE240002</w:t>
      </w:r>
    </w:p>
    <w:p>
      <w:r>
        <w:t>FR: ZH_OBERGERICHT UE240002 du 9 décembre 2024</w:t>
      </w:r>
    </w:p>
    <w:p>
      <w:r>
        <w:t>IT: ZH_OBERGERICHT UE240002 del 9 dicembre 2024</w:t>
      </w:r>
    </w:p>
    <w:p>
      <w:pPr>
        <w:pStyle w:val="Heading2"/>
      </w:pPr>
      <w:r>
        <w:t>Erwägungen</w:t>
      </w:r>
    </w:p>
    <w:p>
      <w:r>
        <w:rPr>
          <w:b/>
        </w:rPr>
        <w:t>E. 1</w:t>
      </w:r>
    </w:p>
    <w:p>
      <w:r>
        <w:t>Mit Schreiben vom 29. September 2023 (adressiert an die Staatsanwaltschaft Zürich-Limmat) erstattete A._____ (nachfolgend: Beschwerdeführerin) Strafan- zeige unter anderem gegen das B._____ Zürich (nachfolgend: Beschwerdegeg- nerin 1) wegen einer "Unterlassung nach Art. 11 StGB". Darin wirft sie den Mitar- beitenden der Beschwerdegegnerin 1 vor, sie hätten es im April 2013 trotz Melde- pflicht unterlassen, die Kindes- und Erwachsenenschutzbehörde (nachfolgend: KESB) über ihre familiäre Situation zu informieren. Wäre eine Meldung erfolgt, wäre sie damals in C._____ nicht von vier Männern entführt worden. Zudem hät- ten mit einer Meldung an die KESB Straftaten ihres Vaters zu ihrem Nachteil ver- hindert werden können (Urk. 8/1; Urk. 3 E. 1).</w:t>
      </w:r>
    </w:p>
    <w:p>
      <w:r>
        <w:rPr>
          <w:b/>
        </w:rPr>
        <w:t>E. 2</w:t>
      </w:r>
    </w:p>
    <w:p>
      <w:r>
        <w:t>Mit Verfügung vom 21. Dezember 2023 nahm die Staatsanwaltschaft Winter- thur/Unterland (Beschwerdegegnerin 2; nachfolgend: Staatsanwaltschaft) gestützt auf Art. 310 Abs. 1 lit. a StPO eine Untersuchung gegen die Beschwerdegegne- rin 1 nicht anhand (Urk. 3). Dagegen erhob die Beschwerdeführerin mit undatier- tem, hierorts am 5. Januar 2024 eingegangenen Schreiben Beschwerde und be- antragte sinngemäss, es sei die angefochtene Verfügung aufzuheben und eine Untersuchung gegen die Beschwerdegegnerin 1 anhandzunehmen. Zudem stellte sie sinngemäss ein Gesuch um Gewährung der unentgeltlichen Rechtspflege (Urk. 2 S. 1-2). Die Akten der Staatsanwaltschaft sind beigezogen (Urk. 8; vgl. auch Urk. 6-7). Da sich die Beschwerde, wie nachfolgend dargelegt, als offen- sichtlich unbegründet erweist, wurde auf einen Schriftenwechsel verzichtet (Art. 390 Abs. 2 StPO). Das Verfahren erweist sich als spruchreif. II. 1. Zur Frage der Wahrung der Beschwerdefrist ist zunächst darauf hinzuweisen, dass es im Strafverfahren – entgegen der Behauptung der Beschwerdeführerin (Urk. 2 S. 2) – keine Gerichtsferien bzw. keinen Fristenstillstand gibt (Art. 89</w:t>
      </w:r>
    </w:p>
    <w:p>
      <w:r>
        <w:t>- 3 - Abs. 2 StPO), was auch für die Anfechtung einer Nichtanhandnahmeverfügung gilt. Den Empfangsschein zur angefochtenen Verfügung datierte die Beschwerdefüh- rerin auf den 3. Januar "2023" (Urk. 8/6), wobei wohl 2024 gemeint war. In ihrer Beschwerdeschrift gab sie jedoch an, sie habe die Verfügung "direkt vor Weih- nachten erhalten" (Urk. 2 S. 2). Die Beschwerdeschrift wurde (spätestens) am</w:t>
      </w:r>
    </w:p>
    <w:p>
      <w:r>
        <w:rPr>
          <w:b/>
        </w:rPr>
        <w:t>E. 2.1</w:t>
      </w:r>
    </w:p>
    <w:p>
      <w:r>
        <w:t>Die Staatsanwaltschaft führte in der angefochtenen Verfügung aus, bei den Mitarbeitenden der Beschwerdegegnerin 1 handle es sich um Psychologinnen und deren Hilfspersonen. Diese unterständen dem Berufsgeheimnis nach Art. 321 StGB und somit nicht der in Art. 314d ZGB geregelten Meldepflicht an die KESB. Eine Strafbarkeit für das Unterlassen einer Meldung an die KESB sei damit aus- geschlossen (Urk. 3 E. 2). Auch die Prüfung weiterer Gefährdungsdelikte erübrige sich. Ein Kausalzusammenhang zwischen dem Verhalten der Mitarbeitenden der Beschwerdegegnerin 1 und der angeblichen Entführung der Beschwerdeführerin durch vier Männer bzw. der mutmasslichen Misshandlung durch den Vater sei nicht ersichtlich (Urk. 3 E. 3). Schliesslich wäre eine allfällige Begünstigung durch Unterlassen i.S.v. Art. 305 i.V.m. Art. 11 StGB bereits verjährt (Urk. 3 E. 4). Die Beschwerdeführerin macht in ihrer persönlich verfassten Beschwerdeschrift im Wesentlichen geltend, sie wolle, dass die Beschwerdegegnerin 1, die ihr Le- ben ruiniert habe bzw. dafür verantwortlich sei, dass sie von vier Männern entführt worden sei, zur Verantwortung gezogen werde und dass sie (die Beschwerdefüh- rerin) eine Genugtuung erhalte. Zudem dürfe "so etwas" nicht verjähren, da sie</w:t>
      </w:r>
    </w:p>
    <w:p>
      <w:r>
        <w:t>- 4 - damals noch ein Kind gewesen und erst jetzt in der Lage sei, für sich einzustehen (Urk. 2 S. 1-2).</w:t>
      </w:r>
    </w:p>
    <w:p>
      <w:r>
        <w:rPr>
          <w:b/>
        </w:rPr>
        <w:t>E. 2.2</w:t>
      </w:r>
    </w:p>
    <w:p>
      <w:r>
        <w:t>Gemäss Art. 310 Abs. 1 lit. a StPO verfügt die Staatsanwaltschaft die Nicht- anhandnahme, sobald aufgrund der Strafanzeige oder des Polizeirapports fest- steht, dass die fraglichen Straftatbestände oder die Prozessvoraussetzungen ein- deutig nicht erfüllt sind. Die Staatsanwaltschaft hat in der angefochtenen Verfügung überzeugend begrün- det, weshalb gestützt auf Art. 310 Abs. 1 lit. a StPO eine Untersuchung gegen die Beschwerdegegnerin 1 nicht anhandzunehmen ist (Urk. 3 E. 2-4). Diese Erwä- gungen werden durch die Akten gestützt (vgl. insbes. Urk. 8/2 ["Bericht" der Be- schwerdegegnerin 1 über die Beschwerdeführerin]). Zur Vermeidung von Wieder- holungen ist auf diese Erwägungen zu verweisen. Die Beschwerdeführerin bringt in ihrer knapp begründeten Beschwerdeschrift nichts Konkretes vor, das diese Er- wägungen in Zweifel zu ziehen vermöchte. Insbesondere ist nicht ersichtlich, dass die Mitarbeitenden der Beschwerdegegnerin 1 verpflichtet gewesen wären, eine Meldung an die KESB zu machen, dass ein Kausalzusammenhang zwischen dem Verhalten der Mitarbeitenden der Beschwerdegegnerin 1 und der angeblichen Entführung bestanden hätte oder dass diese sich anderweitig zum Nachteil der Beschwerdeführerin strafbar gemacht hätten. Im Übrigen ist auch die Erwägung zur Verjährung einer allfälligen Begünstigung durch Unterlassen i.S.v. Art. 305 i.V.m. Art. 11 StGB nicht zu beanstanden (vgl. Art. 97 Abs. 1 lit. c StGB; Art. 97 Abs. 2 StGB ist nicht anwendbar).</w:t>
      </w:r>
    </w:p>
    <w:p>
      <w:r>
        <w:rPr>
          <w:b/>
        </w:rPr>
        <w:t>E. 2.3</w:t>
      </w:r>
    </w:p>
    <w:p>
      <w:r>
        <w:t>Nach dem Erwogenen erweist sich die Beschwerde als offensichtlich unbe- gründet. Die Staatsanwaltschaft hat zurecht gestützt auf Art. 310 Abs. 1 lit. a StPO eine Untersuchung gegen die Beschwerdegegnerin 1 nicht anhandgenom- men. Die Beschwerde ist abzuweisen. 3. 3.1. Bei diesem Ausgang des Beschwerdeverfahrens wird die Beschwerdeführe- rin kostenpflichtig (Art. 428 Abs. 1 StPO).</w:t>
      </w:r>
    </w:p>
    <w:p>
      <w:r>
        <w:t>- 5 - 3.2. Die Beschwerdeführerin (Geschädigte; vgl. Urk. 5) ersucht sinngemäss um Gewährung der unentgeltlichen Rechtspflege (Urk. 2 S. 2). Deren Gewährung setzt voraus, dass die betroffene Person nicht über die erforderlichen Mittel für die Durchsetzung ihrer Zivilansprüche bzw. ihrer Strafklage verfügt, und dass die Zi- vil- bzw. Strafklage nicht aussichtslos erscheint (vgl. Art. 136 Abs. 1 StPO). Nach- dem eine (allfällige) Zivil- bzw. Strafklage der Beschwerdeführerin angesichts der obigen Erwägungen als aussichtslos erscheint, erübrigen sich Weiterungen zu de- ren finanziellen Verhältnissen. Das Gesuch um Gewährung der unentgeltlichen Rechtspflege ist abzuweisen. 3.3. Die Gerichtsgebühr ist in Beachtung der Bemessungskriterien von § 2 Abs. 1 lit. b-d GebV OG (Bedeutung und Schwierigkeit des Falls, Zeitaufwand des Ge- richts) und gestützt auf § 17 Abs. 1 GebV OG umständehalber (ausnahmsweise) auf den Minimalbetrag von Fr. 300.– festzusetzen. 3.4. Bei diesem Verfahrensausgang – und mangels entstandener Umtriebe für die Beschwerdegegnerin 1 – sind keine Parteientschädigungen zuzusprechen. Es wird verfügt: (Oberrichter lic. iur. D. Oehninger)</w:t>
      </w:r>
    </w:p>
    <w:p>
      <w:r>
        <w:rPr>
          <w:b/>
        </w:rPr>
        <w:t>E. 4</w:t>
      </w:r>
    </w:p>
    <w:p>
      <w:r>
        <w:t>Januar 2024 der Post übergeben (vgl. Urk. 4). Da unklar bleibt, wann genau die angefochtene Verfügung bei der Beschwerde- führerin eingegangen ist, bzw. da sich nicht mit Sicherheit belegen lässt, dass diese die Beschwerdefrist verpasste, ist – abstellend auf das im Empfangsschein angegebene Datum – die Beschwerde als rechtzeitig erhoben zu betrachten und darauf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