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UE230429 vom 8. Februar 2024</w:t>
      </w:r>
    </w:p>
    <w:p>
      <w:r>
        <w:t>ZH Obergericht, 2024-02-08, DE</w:t>
      </w:r>
    </w:p>
    <w:p>
      <w:r>
        <w:rPr>
          <w:b/>
        </w:rPr>
        <w:t xml:space="preserve">Quelle: </w:t>
      </w:r>
      <w:r>
        <w:t>https://mcp.opencaselaw.ch/entscheid/zh_obergericht_UE230429</w:t>
      </w:r>
    </w:p>
    <w:p>
      <w:r>
        <w:t>FR: ZH_OBERGERICHT UE230429 du 8 février 2024</w:t>
      </w:r>
    </w:p>
    <w:p>
      <w:r>
        <w:t>IT: ZH_OBERGERICHT UE230429 del 8 febbraio 2024</w:t>
      </w:r>
    </w:p>
    <w:p>
      <w:pPr>
        <w:pStyle w:val="Heading2"/>
      </w:pPr>
      <w:r>
        <w:t>Erwägungen</w:t>
      </w:r>
    </w:p>
    <w:p>
      <w:r>
        <w:rPr>
          <w:b/>
        </w:rPr>
        <w:t>E. 1</w:t>
      </w:r>
    </w:p>
    <w:p>
      <w:r>
        <w:t>Mit Eingabe vom 17. August 2023 erhoben D._____ und E._____ im Namen ih- rer Tochter A._____ (geb. tt. Mai 1997, vorliegend: Beschwerdeführerin) Strafan- zeige bei der Staatsanwaltschaft Zürich-Limmat wegen fahrlässiger Körperverlet- zung (Urk. 7/1). Der Vorwurf richtete sich gegen die Leitung der Institution "F._____" (kurz: F._____), konkret gegen B._____ und C._____ (vorliegend: Beschwerdegegner 1 und 2). Die Beschwerdeführerin wohnte seit November 2021 bis anfangs August 2023 im F._____ (Standort "G._____"). Die Eltern werfen den Beschwerdegeg- nern 1 und 2 vor, dass sie die zur Ernährung der schwer beeinträchtigten Be- schwerdeführerin notwendigen Massnahmen im Zeitraum ca. Februar bis Juli 2023 nicht umgesetzt hätten, was zu einem Unterernährungszustand (Kachexie) mit entsprechenden Folgeerscheinungen geführt habe (Urk. 7/1, Urk. 2 S. 3-9 [Rz 4-22], insb. S. 13 [Rz 35]). Die Staatsanwaltschaft Zürich-Limmat (vorliegend: Beschwerdegegnerin 3, nach- folgend: Staatsanwaltschaft) nahm eine Strafuntersuchung mit Verfügung vom 9. November 2023 (Urk. 4/1) nicht an Hand.</w:t>
      </w:r>
    </w:p>
    <w:p>
      <w:r>
        <w:rPr>
          <w:b/>
        </w:rPr>
        <w:t>E. 2</w:t>
      </w:r>
    </w:p>
    <w:p>
      <w:r>
        <w:t>Der Rechtsvertreter der Beschwerdeführerin vertritt in der Beschwerde einen gegenteiligen Standpunkt und hält wie die Eltern in der Strafanzeige zusammen- gefasst daran fest, dass in der F._____ die zur Ernährung der Beschwerdeführe- rin notwendigen und besprochenen Massnahmen im Zeitraum von ca. Februar bis Juli 2023 nicht umgesetzt worden seien. Das pflichtwidrige Untätigbleiben habe bei der Beschwerdeführerin zu einem Unterernährungszustand (Kachexie) mit entsprechenden Folgeerscheinungen geführt. Es bestehe jedenfalls ein hinrei- chender Verdacht auf fahrlässige Körperverletzung, der keinen Raum für eine Nichtanhandnahmeverfügung lasse, sondern die Durchführung einer Strafunter- suchung erforderlich mache (vgl. Urk. 2 S. 3-13, insb. S. 13 [Rz 35]). 3.1 Die Staatsanwaltschaft verfügt die Nichtanhandnahme, sobald aufgrund der Strafanzeige oder des Polizeirapports feststeht, dass die fraglichen Straftatbe- stände oder die Prozessvoraussetzungen eindeutig nicht erfüllt sind (Art. 310 Abs. 1 lit. a StPO). Sie eröffnet demgegenüber namentlich dann eine Strafunter- suchung, wenn sich aus den Informationen und Berichten der Polizei, aus der Strafanzeige oder aus ihren eigenen Feststellungen ein hinreichender Tatver- dacht ergibt (Art. 309 Abs. 1 lit. a StPO). Die Frage, ob die Strafverfolgungsbe- hörde ein Strafverfahren durch Nichtanhandnahme erledigen kann, beurteilt sich nach dem aus dem strafprozessualen Legalitätsprinzip abgeleiteten Grundsatz "in dubio pro duriore" (Art. 5 Abs. 1 BV und Art. 2 Abs. 1 StPO i.V.m. Art. 319 Abs. 1 und Art. 324 Abs. 1 StPO). Danach darf die Nichtanhandnahme gestützt auf Art. 310 Abs. 1 lit. a StPO nur in sachverhaltsmässig und rechtlich klaren Fällen ergehen, so bei offensichtlicher Straflosigkeit, wenn der Sachverhalt mit Sicher- heit nicht unter einen Straftatbestand fällt (etwa bei rein zivilrechtlichen Streitigkei- ten), oder bei eindeutig fehlenden Prozessvoraussetzungen. Die Strafverfol- gungsbehörde und die Beschwerdeinstanz verfügen in diesem Rahmen über ei- nen gewissen Ermessensspielraum. Im Zweifelsfall, wenn die Nichtanhandnah- megründe nicht mit absoluter Sicherheit gegeben sind, muss das Verfahren eröff- net werden. Ergibt sich nach durchgeführter Untersuchung, dass kein Straftatbe- stand erfüllt ist, stellt die Staatsanwaltschaft das Strafverfahren gestützt auf Art. 319 StPO ein (BGE 137 IV 285 E. 2.2 f.; BuGer 6B_810/2020, Urteil vom 14. Sep- tember 2020, E. 2.1 m.H.).</w:t>
      </w:r>
    </w:p>
    <w:p>
      <w:r>
        <w:t>- 6 - 3.2 Nach Art. 125 Abs. 1 und 2 StGB ist strafbar, wer fahrlässig einen Menschen am Körper schädigt. Ist die Schädigung schwer, so wird der Täter von Amtes we- gen verfolgt. Fahrlässig handelt, wer die Folge seines Verhaltens aus pflichtwidriger Unvorsich- tigkeit nicht bedenkt oder darauf nicht Rücksicht nimmt (Art. 12 Abs. 3 Satz 1 StGB). Pflichtwidrig ist die Unvorsichtigkeit, wenn der Täter die Vorsicht nicht be- achtet, zu der er nach den Umständen und nach seinen persönlichen Verhältnis- sen verpflichtet ist (Art. 12 Abs. 3 Satz 2 StGB). Wo besondere, der Unfallverhü- tung und der Sicherheit dienende Normen ein bestimmtes Verhalten gebieten, bestimmt sich das Mass der zu beachtenden Sorgfalt in erster Linie nach diesen Vorschriften. Fehlen solche, kann sich der Vorwurf der Fahrlässigkeit auf allge- mein anerkannte Verhaltensregeln privater oder halbprivater Vereinigungen oder auf allgemeine Rechtsgrundsätze wie den allgemeinen Gefahrensatz stützen.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 sicht, zu der ein Täter verpflichtet ist, wird letztlich durch die konkreten Umstände und seine persönlichen Verhältnisse bestimmt, weil naturgemäss nicht alle tat- sächlichen Gegebenheiten in Vorschriften gefasst werden können. Der Begriff der Pflichtverletzung darf jedoch nicht so verstanden werden, dass darunter jede Massnahme oder Unterlassung fällt, welche aus nachträglicher Betrachtungswei- se den Schaden vermieden oder bewirkt hätte (zuletzt etwa: BuGer 6B_1486/2021, Urteil vom 18. Januar 2023, E. 3.1.2 - 3.1.3 m.w.H.). Eine fahrlässige Körperverletzung nach Art. 125 StGB kann auch durch pflichtwid- riges Untätigbleiben begangen werden (Art. 11 Abs. 1 StGB). Pflichtwidrig untätig bleibt, wer die Gefährdung oder Verletzung eines strafrechtlich geschützten Rechtsgutes nicht verhindert, obwohl er aufgrund seiner Rechtsstellung dazu ver- pflichtet ist, namentlich aufgrund des Gesetzes, eines Vertrages, einer freiwillig eingegangenen Gefahrengemeinschaft oder der Schaffung einer Gefahr (Art. 11 Abs. 2 lit. a-d StGB).</w:t>
      </w:r>
    </w:p>
    <w:p>
      <w:r>
        <w:t>- 7 - 4.1 Der Rechtsvertreter der Beschwerdeführerin hat mit der Beschwerde – abge- sehen von der angefochtenen Verfügung (Urk. 4/1) – 15 Beilagen (Urk. 4/2-4/16) eingereicht. In der Beschwerdeschrift selber nimmt er zur Begründung seines Standpunktes jedoch keinerlei Bezug darauf. Insbesondere zu den im Abschnitt "Sachverhalt/Prozessgeschichte" vorgebrachten Behauptungen und Annahmen tatsächlicher Natur fehlen jegliche Belegstellen oder Beweisofferten (Urk. 2 S. 3- 9). Angesichts der Begründungsanforderungen wäre es jedoch angezeigt gewe- sen, die hierzu erforderlichen Aktenfundstellen zu bezeichnen. Dies, um aufzuzei- gen, ob bzw. inwieweit ein Sachverhaltsaspekt als erstellt betrachtet wird und um allfällige Unklarheiten in dieser Hinsicht auszuräumen. Es ist nicht Aufgabe der Beschwerdeinstanz, in den (immerhin) 15 Beilagen nach den Grundlagen des gel- tend gemachten Beschwerdegrundes zu suchen (vgl. GUIDON, BSK StPO, 3. Auf- lage, Basel 2023, N 9c zu Art. 396 StPO; vgl. BÄHLER, BSK StPO, a.a.O., N 1 f. zu Art. 385 StPO). Inwieweit dieser Mangel einen Nichteintretensentscheid indiziert, kann mit Blick auf den Ausgang des Beschwerdeverfahrens jedoch offen bleiben. 4.2 a) Aufgrund der Ausführungen in der Beschwerdeschrift (insb. Urk. 2 S. 3-9 [Rz 4-22]) und nach Einsicht in die Beilagen (insb. Urk. 4/2-4/10) erscheint zu- nächst belegt, dass die Beschwerdeführerin aufgrund diverser Geburtsgebrechen schwer beeinträchtigt ist und auf Pflege – einschliesslich das Zuführen von Nah- rung – angewiesen ist. Zumindest in den Grundzügen belegt/dokumentiert ist auch, dass das Grundleiden (u.a.) dazu geführt hat, dass die Beschwerdeführerin seit vielen Jahren unter einer neurogenen Schluckstörung leidet, die wiederum ein aufwändigeres Management bei der (oralen) Nahrungszufuhr erforderlich machte (Urk. 2 S. 4 [Rz 5]). Als Schwierigkeit für eine gelungene (orale) Ernährung kamen Zungenspastiken infolge einer Dystonie (=Bewegungsstörungen/anhaltende Ver- krampfungen) und eine erschwerte Kopfkontrolle hinzu (vgl. Urk. 4/10 S. 1 "Neu- rogene oropharyngeale Dysphagie mit erschwerter Kopfkontrolle, orofazialer Dys- funktion [=Störungen der Muskelfunktionen im Mund-, Rachen-, Gesichts- und Halsbereich], eingeschränkter Schluckakt"). Die Dystonie konnte häufig zu Beginn der Nahrungszufuhr beobachtet werden, ausgelöst durch Berührung. Sie beruhig- te sich aber in der Regel innerhalb von 10 Minuten und eine orale Ernährung der Beschwerdeführerin war hernach meist ohne grössere Probleme möglich, wie z.B.</w:t>
      </w:r>
    </w:p>
    <w:p>
      <w:r>
        <w:t>- 8 - Dr. med. H._____ in ihrem Bericht vom 27. Juni 2023 festgehalten hat (Urk. 2 S. 3/4 [Rz 7] i.V.m. Urk. 4/7 und Urk. 4/10 S. 2). Der Vater selber umschrieb die Beschwerdeführerin in der Strafanzeige als eine "ohnehin aufgrund der Cerebral- parese und neurogenen Schluckstörung untergewichtige Person" (Urk. 7/1 S. 2 oben). b) Die F._____ war trotz dieser Schwierigkeiten (unbestrittenermassen) in der La- ge, die erforderliche Pflege, einschliesslich Ernährung, für die Beschwerdeführerin über einen längeren Zeitraum (ab November 2021) zu bewerkstelligen. Im Januar 2023 traten jedoch weitergehende Probleme auf, nachdem die Beschwerdeführe- rin wegen einem Infekt für eine Woche hospitalisiert werden musste und in der Folge nach ihrer Rückkehr ins Wohnheim ihr Sollgewicht (27 bis 30 kg) nicht mehr erreichte bzw. weiter an Gewicht verloren hatte. Die damit einhergehende Ge- fährdung des gesundheitlichen Zustandes der Beschwerdeführerin hatte auch die F._____ erkannt, wie aus dem Protokoll über die Standortbestimmung vom 26. Januar 2023 hervorgeht (vgl. Urk. 4/2). Dabei fällt auf, dass die F._____ die Problematik ernst nahm und umfassend zur Lösung beitragen wollte (wie Entwi- ckeln einer institutionsinternen Fachmeinung und Methode für die Ernährungssi- tuation, Einbeziehung einer externen Logopädin als Fachberatung und einer Er- nährungsberaterin in Zusammenarbeit mit der internen Köchin, Gewährleistung eines stabilen Betreuungsteams, Frage der Involvierung der Eltern und Eingehen auf Standpunkt der Eltern, Abklärung beim Kanton, ob mehr Personal eingestellt werden könne). Darüber hinaus wollte die F._____ bereits damals – offensichtlich um ihrer Fürsorgepflicht angesichts der problematischen Situation ausreichend nachkommen zu können – das Legen einer PEG-Sonde extern abklären lassen (a.a.O., S. 1 unten). Eine PEG-Sonde bietet die Möglichkeit, einen Menschen über den Magen-Darm-Trakt künstlich zu ernähren. Dabei wird eine Sonde von aussen über die Bauchdecke in den Magen gelegt und die Nahrung wird über die Sonde zugeführt. c) Das vorhandene Problembewusstsein und die frühzeitig diskutierten Lösungs- möglichkeiten sprechen klar für eine umsichtige Haltung innerhalb der F._____ gegenüber den Bewohnern. Konkrete Anhaltspunkte, wonach die Beschwerde-</w:t>
      </w:r>
    </w:p>
    <w:p>
      <w:r>
        <w:t>- 9 - gegner 1 und 2 bzw. die Mitarbeiter des F._____ dagegen ihre Betreuungsaufga- ben nachlässig wahrgenommen haben könnten und/oder nicht auf das Wohl der Beschwerdeführerin (mit Blick auf die Vermeidung einer Mangelernährung) be- dacht gewesen wären, werden in der Beschwerde nicht substantiiert dargetan. In einem E-Mail vom 21. März 2023 an die Beschwerdegegner 1 und 2 führte der Vater der Beschwerdeführerin zudem aus, diese habe jetzt von der zuvor neun Tage im Spital und danach dreieinhalb Wochen im Heim zugeführten Zusatzer- nährung, welche Fette, Vitamine, Elektrolyte etc. beinhaltet habe, längerfristig sehr profitiert (Urk. 4/5). d) Kritik seitens der Eltern drang anlässlich der Sitzung vom 26. Januar 2023 in- sofern durch, als sie bei der oralen Nahrungszufuhr und der Portionie- rung/Vorbereitung der Mahlzeiten Verbesserungsbedarf sahen. Es könnten nicht alle Mitarbeiter die Essenseingabe wegen der Personalfluktuation gleich gut "meistern" und man benötige mehr Stabilität auf der Wohngruppe, da es länger dauere, bis man alles gelernt habe, so die Eltern (vgl. Urk. 4/2 S. 1, s.a. Urk. 4/6). Dass es zu eigentlichen pflichtwidrigen Unterlassungen wie Vergessen einzelner Mahlzeiten oder Weglassen wichtiger Ernährungsbestandteile gekommen wäre, wird wie gesagt nicht geltend gemacht, und Entsprechendes ergibt sich aus nicht aus den Akten. Insofern sind die Vorbringen nicht geeignet, um den Verdacht ei- ner strafrechtlich relevanten Sorgfaltspflichtverletzung (durch Unterlassung) be- gründen zu können. Eine suffiziente orale Ernährung der Beschwerdeführerin muss abgesehen davon als sehr anspruchsvoll und schwierig eingestuft werden. Neben den Zungenspas- tiken, der erschwerten Kopfkontrolle und des eingeschränkten Schluckaktes be- stand offenbar auch eine gewisse Asperationsgefahr. Im provisorischen Austritts- bericht vom 2. August 2023 findet sich im Diagnoseteil u.a. der Hinweis "Rezidi- vierende Pneumonien, a.e. Aspiration, zuletzt 12/2022" (Urk. 4/10). Bei der Be- schwerdeführerin kam es mit anderen Worten in der Vergangenheit zu Lungen- entzündungen (zuletzt im Dezember 2022), und die Ursache hierfür sah man am ehesten in einer Aspiration. Von Aspiration spricht man im Allgemeinen bei Ein- dringen eines flüssigen oder festen Stoffes oder Gemisches direkt über die Mund-</w:t>
      </w:r>
    </w:p>
    <w:p>
      <w:r>
        <w:t>- 10 - oder Nasenhöhle in die Luftröhre und den unteren Atemtrakt. Dabei kann es eben zu Lungenentzündungen kommen, die es im Falle der Beschwerdeführerin selbst- redend zu vermeiden galt. Dieser Umstand dürfte die orale Nahrungsgabe durch die Mitarbeiter der F._____ nochmals diffiziler gemacht haben. Ausgehend davon und angesichts der aufgezeigten Umstände erscheint es daher verfehlt, wenn der F._____ bzw. ihren zuständigen und verantwortlichen Mitarbeitern ein sorgfalts- widriges Verhalten und/oder Unterlassen vorgeworfen wird. Dies selbst dann, wenn nicht alle die Essenseingabe – unter Umständen auch aus Übervorsicht – gleich gut "gemeistert" und/oder die Mimik/Gestik der Beschwerdeführerin wäh- rend der Nahrungszufuhr nicht immer ganz richtig interpretiert haben sollten. e) Dass die Beschwerdeführerin in der Folge letztlich ihr Sollgewicht nicht mehr erreichen konnte bzw. ihr Körpergewicht bis zur Spitaleinweisung per 21. Juli 2023 deutlich darunter gefallen war, ist bedauerlich. Aber auch hier erschiene es verfehlt, wenn den Beschwerdegegnern 1 und 2 eine pflichtwidrige Unterlassung vorgeworfen würde, weil sie es nicht schafften, mit der oralen Nahrungszufuhr die Ernährungsziele zu erreichen. Die Weiterführung der Verabreichung des Essens durch den Mund wurde von der F._____ aufgrund der ablehnenden Haltung der Eltern gegenüber einer PEG-Sonde ja erwartet (vgl. Urk. 4/3 S. 2 unten), obwohl die Ernährungssituation unverändert schwierig und anspruchsvoll blieb. Ob eine zeitnahe Abklärung einer externen Logopädin mit anschliessender interner Schu- lung der Mitarbeiter des F._____ den nötigen Erfolg bzw. eine Verbesserung ge- bracht hätte, ist spekulativ. Es darf davon ausgegangen werden, dass das ernäh- rungstherapeutische Fachwissen in der F._____ grundsätzlich vorhanden war, nachdem die orale Nahrungszufuhr im Zeitraum von November 2021 bis Januar 2023 wie gesagt suffizient war. Der Begriff der Pflichtverletzung darf ja auch nicht so verstanden werden, dass darunter jede Massnahme oder Unterlassung fällt, welche aus nachträglicher Betrachtungsweise den Schaden allenfalls vermieden oder bewirkt hätte (vorstehend E. 3.2). f) Die bei den Akten liegenden Essenstabellen der Ernährungsberatung des Spi- tals Zollikerberg (Urk. 4/9) sind ferner nicht geeignet, um auf eine pflichtwidrige Unterlassung schliessen zu können. Falls der Beschwerdeführerin, wie in der Be-</w:t>
      </w:r>
    </w:p>
    <w:p>
      <w:r>
        <w:t>- 11 - schwerde suggeriert wird, in der F._____ tatsächlich über einen längeren Zeit- raum im Sinne einer Standardernährung fälschlicherweise nur 780 kcal anstatt (wie im Spital) 1980 - 2260 kcal verabreicht worden wären, bliebe unerklärlich, wieso die Beschwerdeführerin zu Beginn ihres Aufenthaltes in der F._____ ab November 2021 bis anfangs Januar 2023 ihr Sollgewicht halten konnte. Auch wi- derspiegelt der Essensplan des Spitals Zollikerberg offensichtlich ein Aufbaupro- gramm. Dass es sich hierbei um einen Standardernährungsplan gehandelt haben sollte, geht aus den Akten nicht hervor, insbesondere auch nicht aus dem proviso- rischen Austrittsbericht des Spitals Zollikerberg (Urk. 4/10). Zudem wurde der Be- schwerdeführerin damals auch Ernährung via Katheter zugeführt, welche Mass- nahme aber nur vorübergehend angewendet werden kann (Urk. 2 S. 6 f. [Rz 11 und 13], Urk. 4/10 S. 2). g) Die ernsthafte gesundheitliche Beeinträchtigung der Beschwerdeführerin und das Körpergewicht zu Beginn ihres Spitalaufenthalts im Juli/August 2023 soll an dieser Stelle keinesfalls infrage gestellt werden. Es fällt jedoch auf, dass in der Beschwerde nicht weiter dokumentiert worden ist, dass bzw. inwiefern bei der Be- schwerdeführerin bei Eintritt ins Spital Zollikerberg bereits von einer "fortschrei- tenden Kachexie" (=pathologischer bzw. krankhafter Gewichtsverlust) ausgegan- gen werden musste. Dahingehende Hinweise lassen sich den Beilagen – soweit ersichtlich – jedenfalls nicht entnehmen. Im provisorischen Austrittsbericht des Spitals Zollikerberg wird eine Kachexie im Diagnoseteil nicht ausdrücklich er- wähnt. Es ist "nur" von der Aufnahme der Beschwerdeführerin zur Optimierung der Ernährungssituation und von einer mässigen Energie- und Eiweiss- Mangelernährung und von einer leichten normochromen normozytären Anämie die Rede (vgl. Urk. 4/10), was für einen weniger schwer wiegenden Verlauf in den sechs Monaten vor dem Spitaleintritt spricht. 4.3 Abschliessend ist mit der Staatsanwaltschaft das Vorliegen einer strafrechtlich relevanten Sorgfaltspflichtverletzung der Beschwerdegegner 1 und 2 – gemessen an der anspruchsvollen Situation der Beschwerdeführerin und angesichts der um- sichtigen Haltung des F._____ – eindeutig zu verneinen. Die angefochtene Nicht- anhandnahmeverfügung hält vor Bundesrecht stand.</w:t>
      </w:r>
    </w:p>
    <w:p>
      <w:r>
        <w:t>- 12 -</w:t>
      </w:r>
    </w:p>
    <w:p>
      <w:r>
        <w:rPr>
          <w:b/>
        </w:rPr>
        <w:t>E. 5</w:t>
      </w:r>
    </w:p>
    <w:p>
      <w:r>
        <w:t>Dies führt zur Abweisung der Beschwerde.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