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UE230416 vom 6. Mai 2025</w:t>
      </w:r>
    </w:p>
    <w:p>
      <w:r>
        <w:t>ZH Obergericht, 2025-05-06, DE</w:t>
      </w:r>
    </w:p>
    <w:p>
      <w:r>
        <w:rPr>
          <w:b/>
        </w:rPr>
        <w:t xml:space="preserve">Quelle: </w:t>
      </w:r>
      <w:r>
        <w:t>https://mcp.opencaselaw.ch/entscheid/zh_obergericht_UE230416</w:t>
      </w:r>
    </w:p>
    <w:p>
      <w:r>
        <w:t>FR: ZH_OBERGERICHT UE230416 du 6 mai 2025</w:t>
      </w:r>
    </w:p>
    <w:p>
      <w:r>
        <w:t>IT: ZH_OBERGERICHT UE230416 del 6 maggio 2025</w:t>
      </w:r>
    </w:p>
    <w:p>
      <w:pPr>
        <w:pStyle w:val="Heading2"/>
      </w:pPr>
      <w:r>
        <w:t>Erwägungen</w:t>
      </w:r>
    </w:p>
    <w:p>
      <w:r>
        <w:rPr>
          <w:b/>
        </w:rPr>
        <w:t>E. 1</w:t>
      </w:r>
    </w:p>
    <w:p>
      <w:r>
        <w:t>Es sei die Einstellungsverfügung … der Staatsanwaltschaft Zürich-Lim- mat vom 26. Oktober 2023 aufzuheben und die Staatsanwaltschaft an- zuweisen, das Strafverfahren fortzusetzen.</w:t>
      </w:r>
    </w:p>
    <w:p>
      <w:r>
        <w:rPr>
          <w:b/>
        </w:rPr>
        <w:t>E. 2</w:t>
      </w:r>
    </w:p>
    <w:p>
      <w:r>
        <w:t>Beschwerdebegründung Zur Begründung ihrer Beschwerde brachte die Beschwerdeführerin bezüglich des Betrugsvorwurfs im Wesentlichen vor, der Beschwerdegegner 1 habe seine Autos nie aus freien Stücken deklariert, weder im Gesuchsverfahren zum Bezug von Er- gänzungsleistungen im Jahr 2009 noch anschliessend im Rahmen der periodi- schen Überprüfung im Jahr 2011. Im April 2012 sei der Beschwerdegegner 1 inner- halb von Zürich umgezogen, weshalb er den neuen Mietvertrag eingereicht habe und zudem als Beilage - bewusst oder versehentlich - einen Mietvertrag für einen Garagenplatz. Aus der Telefonnotiz vom 20. April 2012 gehe hervor, dass er ge- genüber dem zuständigen Sachbearbeiter der Beschwerdeführerin erklärt habe, er habe die Wohnung nur mit jenem separaten Mietvertrag bekommen, und dass er gefragt habe, ob dafür auch ein Teil der Mietkosten berücksichtigt werden könne. Bei den Beilagen 26 und 27 zur Strafanzeige handle es sich entgegen der Darstel- lung der Staatsanwaltschaft nicht um ein doppeltes Aktenstück, vielmehr handle es sich um die Aktenkopie des Briefes vom 26. August 2014 und um das vom Be- schwerdegegner 1 retournierte Original, das er durch Anstreichen als Antworts- chreiben verwendet habe. Somit sei die von der Staatsanwaltschaft vertretene Auf- fassung falsch, dass auf einem Exemplar die Frage nicht beantwortet worden sei. Viele Rentner würden über Fahrzeuge mit wenig Wert verfügen, die mangels Rele- vanz in keiner Steuererklärung angegeben würden. Im hier zu beurteilenden EL-</w:t>
      </w:r>
    </w:p>
    <w:p>
      <w:r>
        <w:t>- 5 - Verwaltungsverfahren sei ein grosser Teil der Kommunikation zwischen dem Be- schwerdegegner 1 und den zuständigen Sachbearbeitern telefonisch erfolgt, wie es sich in den zahlreichen Aktennotizen niederschlage, aus welchen hervorgehe, dass seit der Feststellung eines Autos im Jahr 2012 immer nur von einem einzigen Auto und keinesfalls von einer bis heute aufsehenerregenden Marke, wie Lambor- ghini, die üblicherweise zum Luxussegment gezählt werde, die Rede gewesen sei. Auch bei einfachen falschen Angaben könne Arglist gegeben sein, wenn im betref- fenden Geschäftsbereich eine nähere Überprüfung typischerweise nicht üblich sei, etwa weil sie unverhältnismässig erscheinen würde und auch die konkreten Ver- hältnisse im Einzelfall keine besonderen Vorkehrungen nahelegen oder gar auf- drängen würden. Bei der Durchführung der Ergänzungsleistungen handle es sich um ein Massengeschäft mit ungefähr 450 bis 500 laufenden Dossiers pro Sachbe- arbeiter, für welchen die Untersuchungspflicht gelte, jedoch für den Beschwerde- gegner 1, als Korrelat dazu, die Mitwirkungs- und Meldepflicht. Wenn sich aus den aktuellen und vergangenen Lebensumständen, soweit diese bekannt seien, oder etwa aus beigezogenen Steuererklärungen und Belegen keine Hinweise für nicht deklariertes Vermögen oder Einkommen ergäben, so müsse sich der Sachbearbei- ter aus Gründen der Verhältnismässigkeit mit den Auskünften der über ihre Melde- pflicht belehrten Person begnügen. Der Beschwerdegegner 1 habe zu keinem Zeit- punkt (weder im Gesuchverfahren 2009 noch während des laufenden Leistungsbe- zuges bis zu seinem Wohnungswechsel) je einen Fahrzeugbesitz erwähnt. Zusam- menfassend halte die Beschwerdeführerin die Arglist bei den Täuschungshandlun- gen in den falschen Angaben im Formular zum Gesuch (Beilage 1 der Strafan- zeige), in den Formularen zu den periodischen Überprüfungen vom 6. Juni 2011 (Beilage 13 zur Strafanzeige) und vom 23. Juli 2014 (Beilage 21 zur Strafanzeige) sowie insbesondere in der Korrespondenz vom August 2014 (Beilage 27 zur Straf- anzeige) durch konkludentes Verhalten grundsätzlich als gegeben (Urk. 9 S. 2 ff.).</w:t>
      </w:r>
    </w:p>
    <w:p>
      <w:r>
        <w:t>- 6 -</w:t>
      </w:r>
    </w:p>
    <w:p>
      <w:r>
        <w:rPr>
          <w:b/>
        </w:rPr>
        <w:t>E. 3</w:t>
      </w:r>
    </w:p>
    <w:p>
      <w:r>
        <w:t>Stellungnahme des Beschwerdegegners 1 Zur Begründung seines Antrages auf Abweisung der Beschwerde liess der Be- schwerdegegner 1 bezüglich des Betrugsvorwurfes im Wesentlichen ausführen, es werde an der Sachverhaltsdarstellung gemäss den schriftlichen Eingaben der amt- lichen Verteidigung vom 8. Juni 2023 und vom 13. September 2023 festgehalten. Dies betreffe insbesondere auch das Eigentum an den drei Personenwagen der Marken Mercedes, Lamborghini und Jaguar bzw. die Verfügungsberechtigung über diese Autos bzw. die Vorstellungen des Beschwerdegegners 1 darüber und somit seinen Vorsatz. Der Tatbestand des Betruges scheide von vornherein aus, da die Beschwerdeführerin von Anfang an über die Existenz der Autos im Bild gewesen sei, was zumindest für den Mercedes seit 2014 und für die Tatsache eines Park- platzes seit 2012 aktenkundig sei (Urk. 21 S. 1).</w:t>
      </w:r>
    </w:p>
    <w:p>
      <w:r>
        <w:rPr>
          <w:b/>
        </w:rPr>
        <w:t>E. 4</w:t>
      </w:r>
    </w:p>
    <w:p>
      <w:r>
        <w:t>Rechtliches und Folgerungen a) Gemäss Art. 148a Abs. 1 StGB wird mit Freiheitsstrafe bis zu einem Jahr oder Geldstrafe bestraft, wer jemanden durch unwahre oder unvollständige Anga- ben, durch Verschweigen von Tatsachen oder in anderer Weise irreführt oder in einem Irrtum bestärkt, sodass er oder ein anderer Leistungen einer Sozialversiche- rung oder der Sozialhilfe bezieht, die ihm oder dem andern nicht zustehen. In leich- ten Fällen ist die Strafe nach Art. 148a Abs. 2 StGB Busse.</w:t>
      </w:r>
    </w:p>
    <w:p>
      <w:r>
        <w:t>- 15 - Hinsichtlich der Abgrenzung eines leichten Falles (im Sinne von Art. 148a Abs. 2 StGB) vom Vergehenstatbestand nach Art. 148a Abs. 1 StGB kann auf die von der Staatsanwaltschaft zitierte bundesgerichtliche Rechtsprechung (BGE 149 IV 273) verwiesen werden (siehe oben E. III. 1.). b) Bezüglich der Höhe des Vermögensschadens bzw. von allenfalls zu viel ausbezahlten Ergänzungsleistungen machte die Beschwerdeführerin in ihrer Straf- anzeige für den Zeitraum ab Januar 2012 einen Schaden von ca. Fr. 149'000.– und für den Zeitraum ab Januar 2018 von ca. Fr. 71'000.– geltend (Urk. 16/D1/1 S. 4). Nachdem die Staatsanwaltschaft in der Begründung der angefochtenen Einstel- lungsverfügung in zutreffender Weise darauf hingewiesen hatte, dass die Verjäh- rungsfrist bezüglich des Vergehenstatbestandes von Art. 148a Abs. 1 StGB sieben Jahre betrage [Art. 97 Abs. 1 lit. d StGB] und die Tatvorwürfe [unter Berücksichti- gung der im Zeitpunkt der Einstellungsverfügung vom 26. Oktober 2023 bereits ein- getretenen Verjährung] bis Oktober 2016 relevant seien (Urk. 5 S. 5), passte die Beschwerdeführerin den Zeitrahmen entsprechend an und führte in ihrer Be- schwerdeschrift aus, die Überprüfung des Leistungsanspruches vom 1. Oktober 2016 bis 31. Dezember 2020 führe zu einem Schaden von ungefähr Fr. 72'000.–, der noch viel höher läge, wenn auf eine arglistige Täuschung im Sinne des Betrugs- tatbestandes geschlossen würde (Urk. 9 S. 8). Vor diesem Hintergrund muss es sich bei der (ebenfalls in der Beschwerdeschrift enthaltenen) Aussage der Be- schwerdeführerin, Gegenstand des vorliegenden Verfahrens bilde der Leistungs- anspruch "ab bis Ende 2020" (Urk. 9 S. 6), wohl um einen Schreibfehler handeln und davon ausgegangen werden, dass die Beschwerdeführerin damit "ab Oktober 2016 bis Ende 2020" meinte. In welchem genauen Zeitraum der Beschwerdegeg- ner 1 welche Zusatzleistungen in welchen Beträgen zu viel erhältlich gemacht ha- ben soll, lässt sich den Rechtsschriften der Beschwerdeführerin nicht entnehmen. Weder die Strafanzeige, die Beschwerdeeingaben noch die weiteren Akten enthal- ten sachdienliche Angaben darüber, welche Beträge dem Beschwerdegegner 1 im Rahmen von Zusatzleistung im inkriminierten Zeitraum (d.h. vom 1. Oktober 2016 bis 31. Dezember 2020) tatsächlich ausbezahlt, geschweige denn zu viel ausbe- zahlt wurden. Mangels Bezifferung fehlt es damit bereits an den Grundlagen für die Ermittlung eines möglichen Vermögensschadens.</w:t>
      </w:r>
    </w:p>
    <w:p>
      <w:r>
        <w:t>- 16 - Aus dem Urteil des Sozialversicherungsgerichts des Kantons Zürich vom 11. Ja- nuar 2022 geht hervor, dass die Stadt Zürich dem Beschwerdegegner 1 mit Verfü- gung vom 15. Dezember 2020 ab Januar 2021 monatliche Zusatzleistungen (bun- desrechtliche Ergänzungsleistungen, kantonalrechtliche Beihilfen und Gemeinde- zuschüsse) von Fr. 1'390.– und monatliche Prämienverbilligungen von Fr. 521.– zusprach. Nach Abklärungen hinsichtlich auf diesen eingelöster Fahrzeuge habe sie die Verfügung vom 15. Dezember 2020 in Wiedererwägung gezogen und ihm mit Verfügung vom 4. Januar 2021 unter Anrechnung eines Reinvermögens (be- wegliches Vermögen und Sachwerte) von Fr. 97'019.– ab Januar 2021 monatliche Zusatzleistungen (bundesrechtliche Ergänzungsleistungen) von Fr. 304.– und mo- natliche Prämienverbilligungen von Fr. 433.60 zugesprochen. Nach einer Einspra- che seien schliesslich ein Reinvermögen von Fr. 82'659.– berücksichtigt und Zu- satzleistungen von Fr. 424.– zugesprochen worden (Urk. 16/D1/2/38 S. 2). Im er- wähnten Urteil des Sozialversicherungsgerichtes wurde auch die Annahme eines Reinvermögens von Fr. 82'659.– bestätigt (Urk. 16/D1/2/38 S. 10). In Erwägung 5.3 dieses Urteils wird bezüglich der Festsetzung der Fahrzeugwerte Folgendes ausgeführt (Urk. 16/D1/2/38 S. 8 f.): "Bezüglich des Mercedes-Benz 500 SL sowie des Lamborghini Jarama, für welche die Beschwerdegegnerin einen Wert von Fr. 5'000.– beziehungsweise Fr. 15'000.– angenommen hat, widersetzte sich der Beschwerdeführer einer Verkehrswertschätzung, wohl deshalb, weil auch er von einem höheren tat- sächlichen Wert ausgeht. Angesichts der von der Beschwerdegegnerin ge- troffenen Abklärungen auf dem Fahrzeugmarkt ist die ermessensweise Fest- setzung der Verkehrswerte dieser beiden Fahrzeuge für die hier zu beurtei- lende Periode und unter Vorbehalt der Wiedererwägung nach Vorliegen einer sachverständigen Schätzung für künftige Perioden nicht zu beanstanden." Somit betraf der erwähnte Vorbehalt der Wiedererwägung (auf den sich die Be- schwerdeführerin explizit in der Begründung ihrer Beschwerdeschrift bezieht, Urk. 9 S. 6) künftige Perioden (und damit nicht Zeiträume, die vor der vom Sozial- versicherungsgericht beurteilten Periode ab Januar 2021 liegen). Demgegenüber soll nach der Auffassung der Beschwerdeführerin im Rahmen des vorliegenden</w:t>
      </w:r>
    </w:p>
    <w:p>
      <w:r>
        <w:t>- 17 - Strafverfahrens von Werten der beiden Fahrzeuge Mercedes-Benz 500 SL und Lamborghini Jarama in vergangenen Zeiträumen (die teilweise sogar noch vor der vom Sozialversicherungsgericht rechtskräftig beurteilten Periode liegen), ausge- gangen werden, die sehr viel höher als diejenigen Werte sind, welche das Sozial- versicherungsgericht seinem Urteil zugrunde legte. Aus den folgenden Gründen besteht kein Anlass, im vorliegenden Strafverfahren bezüglich des Zeitraums vor dem Erlass des Urteils des Sozialversicherungsgerichts von höheren Werten der beiden Fahrzeuge als Fr. 5'000.– und Fr. 15'000.– auszugehen: Der massgebliche Marktwert der beiden Oldtimer dürfte sich nicht anklagegenügend genau auf den Deliktszeitraum (d.h. vom 1. Oktober 2016 bis 31. Dezember 2020) ermitteln las- sen. Dabei kann nicht ausser Acht gelassen werden, dass einzig der fragliche Marktwert im Deliktszeitraum massgebend ist. Fraglich bleibt dabei, ob sich der Zustand, in welchem sich das jeweilige Fahrzeug in jenem Zeitraum befand, nach- träglich überhaupt rekonstruieren und anklagegenügend ermitteln lässt. Aktuelle Marktwerte, die in den (inzwischen) vergangenen Jahren weiter und deutlich ge- stiegen sein dürften (vgl. auch Urk. 16/D1/1 S. 3), sind wenig hilfreich. Jedenfalls wäre in Anwendung von Art. 10 Abs. 3 StPO zu Gunsten des Beschwerdegeg- ners 1 von einer steten Wertsteigerung im fraglichen Zeitraum auszugehen. Aus den divergierenden Angaben der Beschwerdeführerin und den vorhandenen weiteren Beweismitteln lässt sich nach dem Dargelegten kein hinreichender und bezifferbarer Anfangsverdacht hinsichtlich eines Vergehens (Art. 148a Abs. 1 StGB) begründen. Hinsichtlich einer allfälligen Übertretung (Art. 148a Abs. 2 StGB) wäre die dreijährige Verfolgungsverjährung (Art. 109 StGB) im Übrigen längst ein- getreten, weshalb die Verfahrenseinstellung zu Recht erging und die Beschwerde abzuweisen ist. V. Kosten- und Entschädigungsfolgen Ausgangsgemäss sind die Kosten für das Beschwerdeverfahren der Beschwerde- führerin aufzuerlegen (Art. 428 Abs. 1 StPO). Diese sind in Anwendung von § 2</w:t>
      </w:r>
    </w:p>
    <w:p>
      <w:r>
        <w:t>- 18 - Abs. 1 lit. b-d und gestützt auf § 17 Abs. 1 der Gebührenverordnung des Oberge- richts vom 8. September 2010 (GebV OG) auf Fr. 1'800.– festzusetzen Die Kosten der amtlichen Verteidigung des Beschwerdegegners 1 für das vorlie- gende Beschwerdeverfahren sind auf die Gerichtskasse zu nehmen. Die von ihm eingereichte Beschwerdeantwort umfasst drei Seiten (Urk. 21). Unter Berücksichti- gung der in § 2 Abs. 1 lit. b-e AnwGebV aufgeführten Bemessungsgrundlagen (Be- deutung des Falls, Verantwortung des Anwalts, notwendiger Zeitaufwand des An- walts und Schwierigkeit des Falls) erweist sich eine Anwaltsgebühr von Fr. 1'500.– (inklusive Mehrwertsteuer) als angemessen.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