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UE230349 vom 14. Dezember 2023</w:t>
      </w:r>
    </w:p>
    <w:p>
      <w:r>
        <w:t>ZH Obergericht, 2023-12-14, DE</w:t>
      </w:r>
    </w:p>
    <w:p>
      <w:r>
        <w:rPr>
          <w:b/>
        </w:rPr>
        <w:t xml:space="preserve">Quelle: </w:t>
      </w:r>
      <w:r>
        <w:t>https://mcp.opencaselaw.ch/entscheid/zh_obergericht_UE230349</w:t>
      </w:r>
    </w:p>
    <w:p>
      <w:r>
        <w:t>FR: ZH_OBERGERICHT UE230349 du 14 décembre 2023</w:t>
      </w:r>
    </w:p>
    <w:p>
      <w:r>
        <w:t>IT: ZH_OBERGERICHT UE230349 del 14 dicembre 2023</w:t>
      </w:r>
    </w:p>
    <w:p>
      <w:pPr>
        <w:pStyle w:val="Heading2"/>
      </w:pPr>
      <w:r>
        <w:t>Erwägungen</w:t>
      </w:r>
    </w:p>
    <w:p>
      <w:r>
        <w:rPr>
          <w:b/>
        </w:rPr>
        <w:t>E. 1</w:t>
      </w:r>
    </w:p>
    <w:p>
      <w:r>
        <w:t>Am 7. August 2023 erstattete A._____ (nachfolgend: Beschwerdeführer) bei der Oberstaatsanwaltschaft des Kantons Zürich Strafanzeige gegen unbekannte Mitglieder des Handelsgerichts des Kantons Zürich wegen Verstosses gegen das Datenschutzgesetz, Sachentziehung, Verletzung des Schriftgeheimnisses, Unter- drückung von Urkunden und Diskriminierung (Urk. 15/1). Die Oberstaatsanwalt- schaft des Kantons Zürich überwies die Akten am 15. August 2023 der Staatsan- waltschaft II des Kantons Zürich (nachfolgend: Staatsanwaltschaft) zur Prüfung und weiteren Veranlassung (Urk. 15/2). Am 29. August 2023 verfügte die Staats- anwaltschaft die Nichtanhandnahme einer Strafuntersuchung betreffend Unter- drückung von Urkunden (Art. 254 StGB) etc. (Urk. 4).</w:t>
      </w:r>
    </w:p>
    <w:p>
      <w:r>
        <w:rPr>
          <w:b/>
        </w:rPr>
        <w:t>E. 1.1</w:t>
      </w:r>
    </w:p>
    <w:p>
      <w:r>
        <w:t>Nach Fristansetzung zur Leistung einer Prozesskaution beantragte der Be- schwerdeführer die Gewährung der unentgeltlichen Rechtspflege (Urk. 10).</w:t>
      </w:r>
    </w:p>
    <w:p>
      <w:r>
        <w:rPr>
          <w:b/>
        </w:rPr>
        <w:t>E. 1.2</w:t>
      </w:r>
    </w:p>
    <w:p>
      <w:r>
        <w:t>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gewährt, wenn sie nicht über die erforderlichen Mittel verfügt und die Zivilklage</w:t>
      </w:r>
    </w:p>
    <w:p>
      <w:r>
        <w:t>- 7 - nicht als aussichtslos erscheint. Aussichtslosigkeit ist anzunehmen, wenn die Gewinnaussichten beträchtlich geringer sind als die Verlustgefahren und deshalb kaum als ernsthaft bezeichnet werden können (BSK StPO-Mazzucchelli/Postizzi, 3. Aufl. 2023, Art. 136 N 14; Urteil des Bundesgerichts 1B_426/2020 vom 5. Ja- nuar 2021 E. 3.3.2).</w:t>
      </w:r>
    </w:p>
    <w:p>
      <w:r>
        <w:rPr>
          <w:b/>
        </w:rPr>
        <w:t>E. 1.3</w:t>
      </w:r>
    </w:p>
    <w:p>
      <w:r>
        <w:t>Mit dem heutigen Entscheid in der Sache ist das sinngemässe Gesuch um Befreiung von einer Vorschussleistung hinfällig. Was das Gesuch um Befreiung von den Verfahrenskosten anbelangt, erweist sich der Standpunkt des Beschwer- deführers nach dem Dargelegten (E. II.) offensichtlich als unbegründet, weshalb die Beschwerde von vornherein aussichtslos war. Da sich die Strafanzeige gegen Mitglieder des Handelsgerichts des Kantons Zürich richtet, sind ohnehin auch kei- ne zivilrechtlichen Forderungen ersichtlich. Dementsprechend ist das Gesuch des Beschwerdeführers um Bewilligung der unentgeltlichen Rechtspflege abzuweisen. 2. Die Gerichtsgebühr ist in Anwendung von § 17 Abs. 1 i.V.m. § 2 Abs. 1 lit. b - d GebV OG insbesondere unter Berücksichtigung der aufwendigen Prozesslei- tung (Urk. 7, Urk. 13) auf Fr. 1'400.00 festzusetzen und ausgangsgemäss dem Beschwerdeführer aufzuerlegen (Art. 428 Abs. 1 StPO). Infolge Unterliegens ist dem Beschwerdeführer keine Entschädigung zuzusprechen. 3. Dem Handelsgericht des Kantons Zürich wurde die angefochtene Nichtan- handnahmeverfügung nicht zugestellt resp. sie wurde zu Handen der unbekann- ten Mitglieder ad acta genommen (Urk. 4 S. 5, Urk. 15/6/1). Dementsprechend ist auch von einer Zustellung dieses Beschlusses an das Handelsgericht des Kan- tons Zürich abzusehen.</w:t>
      </w:r>
    </w:p>
    <w:p>
      <w:r>
        <w:t>- 8 - Es wird verfügt: (Oberrichter lic. iur. A. Flury)</w:t>
      </w:r>
    </w:p>
    <w:p>
      <w:r>
        <w:rPr>
          <w:b/>
        </w:rPr>
        <w:t>E. 2</w:t>
      </w:r>
    </w:p>
    <w:p>
      <w:r>
        <w:t>Gegen die ihm am 20. September 2023 zugestellte Verfügung (Urk. 15/6/3) erhob der Beschwerdeführer mit Eingabe vom gleichen Tag (Eingang bei der Schweizerische Botschaft in Athen: 22. September 2023; Urk. 2) fristgerecht Be- schwerde (Art. 91 Abs. 2 StPO) und beantragte die Aufhebung der Nichtanhand- nahmeverfügung (Urk. 3). Mit Verfügung vom 4. Oktober 2023 wurde dem Be- schwerdeführer Frist zur Leistung einer Prozesskaution in Höhe von Fr. 2'000.00 angesetzt. Zugleich wurde die Beschwerdeschrift in Kopie der Oberstaatsanwalt- schaft des Kantons Zürich zur allfälligen weiteren Veranlassung betreffend das Gesuch des Beschwerdeführers um Einleitung einer Disziplinaruntersuchung ge- gen die Staatsanwaltschaft übermittelt (Urk. 7). Mit Eingabe vom 14. Oktober 2023 beantragte der Beschwerdeführer die Gewährung der unentgeltlichen Rechtspflege sowie die Weiterleitung der Eingabe an die Oberstaatsanwaltschaft des Kantons Zürich (Urk. 10). Mit Verfügung vom 26. Oktober 2023 wurde dem Beschwerdeführer daraufhin die Frist zur Leistung einer Prozesskaution abge- nommen und festgehalten, dass über das Gesuch um Gewährung der unentgeltli- chen Rechtspflege zu einem späteren Zeitpunkt entschieden werde. Weiter wurde verfügt, dass die Eingabe des Beschwerdeführers nicht an die Oberstaatsanwalt- schaft des Kantons Zürich weitergeleitet werde, da es nicht Aufgabe der Be- schwerdeinstanz sei, bewusst bei einer falschen Behörde eingereichte Post wei-</w:t>
      </w:r>
    </w:p>
    <w:p>
      <w:r>
        <w:t>- 3 - terzuleiten. Überdies wurde die Staatsanwaltschaft um Einreichung der Akten er- sucht (Urk. 22). Die Untersuchungsakten gingen am 2. November 2023 ein (Urk. 15, Urk. 16).</w:t>
      </w:r>
    </w:p>
    <w:p>
      <w:r>
        <w:rPr>
          <w:b/>
        </w:rPr>
        <w:t>E. 3</w:t>
      </w:r>
    </w:p>
    <w:p>
      <w:r>
        <w:t>Da sich die Beschwerde als offensichtlich unbegründet erweist, ergeht der Entscheid ohne Einholung einer Stellungnahme (Art. 390 Abs. 2 StPO).</w:t>
      </w:r>
    </w:p>
    <w:p>
      <w:r>
        <w:rPr>
          <w:b/>
        </w:rPr>
        <w:t>E. 4</w:t>
      </w:r>
    </w:p>
    <w:p>
      <w:r>
        <w:t>Zusammenfassend verfügte die Staatsanwaltschaft zu Recht die Nichtan- handnahme einer Strafuntersuchung. Folglich ist die Beschwerde abzuweisen. Der Vollständigkeit halber ist anzumerken, dass auch nicht zu beanstanden ist, dass die Staatsanwaltschaft vor Erlass der Nichtanhandnahmeverfügung keine Ermächtigung zur Strafverfolgung im Sinne von § 148 GOG/ZH eingeholt hat (ZR 112/2013 Nr. 86).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