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UE230277 vom 30. April 2024</w:t>
      </w:r>
    </w:p>
    <w:p>
      <w:r>
        <w:t>ZH Obergericht, 2024-04-30, DE</w:t>
      </w:r>
    </w:p>
    <w:p>
      <w:r>
        <w:rPr>
          <w:b/>
        </w:rPr>
        <w:t xml:space="preserve">Quelle: </w:t>
      </w:r>
      <w:r>
        <w:t>https://mcp.opencaselaw.ch/entscheid/zh_obergericht_UE230277</w:t>
      </w:r>
    </w:p>
    <w:p>
      <w:r>
        <w:t>FR: ZH_OBERGERICHT UE230277 du 30 avril 2024</w:t>
      </w:r>
    </w:p>
    <w:p>
      <w:r>
        <w:t>IT: ZH_OBERGERICHT UE230277 del 30 aprile 2024</w:t>
      </w:r>
    </w:p>
    <w:p>
      <w:pPr>
        <w:pStyle w:val="Heading2"/>
      </w:pPr>
      <w:r>
        <w:t>Erwägungen</w:t>
      </w:r>
    </w:p>
    <w:p>
      <w:r>
        <w:rPr>
          <w:b/>
        </w:rPr>
        <w:t>E. 1</w:t>
      </w:r>
    </w:p>
    <w:p>
      <w:r>
        <w:t>A._____ (nachfolgend: Beschwerdeführer) und B._____ (nachfolgend: Be- schwerdegegnerin 1) sind miteinander verheiratet und die Eltern ihrer Tochter, C._____ (geb. am tt.mm.2019). Am 18. April 2023 liess der Beschwerdeführer ge- gen die Beschwerdegegnerin 1 über seinen damaligen Rechtsvertreter Strafan- zeige wegen Entziehens von Minderjährigen im Sinne von Art. 220 StGB erstatten (Urk. 15/2/1). Am 24. Juli 2023 verfügte die Staatsanwaltschaft Limmattal/Albis (nachfolgend: Staatsanwaltschaft) die Nichtanhandnahme der Strafuntersuchung (Urk. 3/2 = Urk. 6 = Urk. 15/5).</w:t>
      </w:r>
    </w:p>
    <w:p>
      <w:r>
        <w:rPr>
          <w:b/>
        </w:rPr>
        <w:t>E. 2</w:t>
      </w:r>
    </w:p>
    <w:p>
      <w:r>
        <w:t>Gegen die ihm am 31. Juli 2023 zugestellte Nichtanhandnahmeverfügung (vgl. Urk. 15/8) liess der Beschwerdeführer mit Eingabe vom 7. August 2023 Be- schwerde erheben und folgende Anträge stellen (Urk. 2 S. 2): "1. Die Nichtanhandnahmeverfügung vom 24. Juli 2023 im Verfahren A-10/2023/10018598 sei aufzuheben und das Verfahren zur Durchführung des Vorverfahrens betreffend Entziehung eines Minderjährigen (Art. 220 StGB) an die Vorinstanz zurückzuwei- sen.</w:t>
      </w:r>
    </w:p>
    <w:p>
      <w:r>
        <w:rPr>
          <w:b/>
        </w:rPr>
        <w:t>E. 3</w:t>
      </w:r>
    </w:p>
    <w:p>
      <w:r>
        <w:t>Die Strafuntersuchungsbehörde sei anzuweisen, das Strafverfah- ren formell zu eröffnen und folgende Untersuchungshandlungen vorzunehmen: - Befragung der Beschuldigten; - Befragung des Kindsvaters/Ehemannes.</w:t>
      </w:r>
    </w:p>
    <w:p>
      <w:r>
        <w:rPr>
          <w:b/>
        </w:rPr>
        <w:t>E. 4</w:t>
      </w:r>
    </w:p>
    <w:p>
      <w:r>
        <w:t>Infolge Neukonstituierung der III. Strafkammer und Neubesetzung mehrerer Richterstellen per 1. Januar 2024 sowie Ferienabwesenheiten ergeht der Ent- scheid in teilweise anderer Besetzung bzw. amten die am Entscheid beteiligten Richter teilweise in anderer Funktion als angekündigt (vgl. Urk. 7 S. 3). II. 1. In der Strafanzeige wurde der Beschwerdegegnerin 1 vorgeworfen, dass sie am 8. September 2022 die gemeinsame Tochter C._____ von der Kindertages- stätte D._____ an der E._____-strasse 1 in F._____ entgegen der Vereinbarung mit dem Beschwerdeführer abgeholt habe. Sie sei danach nicht mehr in die ge- meinsame Wohnung in F._____ zurückgekehrt und habe sich eine andere Woh- nung genommen. Dies, obwohl der Beschwerdeführer normalerweise derjenige gewesen sei, der die Tochter abgeholt habe (Urk. 15/2/1 S. 1 f.). 2. Die Staatsanwaltschaft führte in der Nichtanhandnahmeverfügung aus, dass die Strafantragsfrist zum Zeitpunkt der Einreichung der Strafanzeige bereits um mehr als vier Monate verstrichen gewesen sei. Weiter sei davon auszugehen, dass sowohl die Beschwerdegegnerin 1 als auch der Beschwerdeführer am</w:t>
      </w:r>
    </w:p>
    <w:p>
      <w:r>
        <w:rPr>
          <w:b/>
        </w:rPr>
        <w:t>E. 8</w:t>
      </w:r>
    </w:p>
    <w:p>
      <w:r>
        <w:t>Nach dem Gesagten hat die Staatsanwaltschaft eine Strafuntersuchung ge- gen die Beschwerdegegnerin 1 zu Recht nicht an Hand genommen. Dies führt zur Abweisung der Beschwerde. III. 1. Ausgangsgemäss sind die Kosten des Beschwerdeverfahrens dem Be- schwerdeführer aufzuerlegen (Art. 428 Abs. 1 StPO). Angesichts der Bedeutung und Schwierigkeit des Falls sowie des Aufwands des Gerichts ist die Gerichtsge- bühr für das Beschwerdeverfahren auf CHF 1'500.– festzusetzen (§ 17 Abs. 1 i. V. m. § 2 Abs. 1 lit. b – d GebV OG).</w:t>
      </w:r>
    </w:p>
    <w:p>
      <w:r>
        <w:t>- 7 - 2. Da der Beschwerdeführer im Beschwerdeverfahren unterliegt, ist er nicht zu entschädigen (Art. 436 Abs. 1 in Verbindung mit Art. 433 Abs. lit. a StPO). Da es sich beim Entziehen von Minderjährigen um ein Antragsdelikt handelt, hat der Be- schwerdeführer die obsiegende anwaltlich verteidigte Beschwerdegegnerin 1 für ihre im Beschwerdeverfahren getätigten Aufwendungen zu entschädigen (vgl. BGE 147 IV 47 E. 4.2.5 f.). Angesichts der sich stellenden juristischen Fragen und des eingeschränkten Beschwerdethemas erweist sich der Fall als nicht an- spruchsvoll. Entsprechend liess die Beschwerdegegnerin 1 auch nur eine kurze Stellungnahme von einer Seite (mit Rubrum) einreichen. In dieser liess sie im We- sentlichen auf die Ausführungen der Staatsanwaltschaft verweisen (Urk. 18). In Anwendung von § 19 Abs. 1 i. V. mit § 2 Abs. 1 AnwGebV erscheint somit eine (pauschale) Entschädigung von CHF 300.– (inkl. MWST) als angemessen. 3. Der Beschwerdeführer hat für das Beschwerdeverfahren eine Sicherheits- leistung von CHF 2'500.– geleistet (Art. 383 StPO; Urk. 9). Die dem Beschwerde- führer auferlegten Kosten (entsprechend CHF 1'500.–) sind von der Sicherheits- leistung zu beziehen. Vom Restbetrag sind CHF 300.–, in Anrechnung an die dem Beschwerdeführer auferlegte Entschädigung, durch die Gerichtskasse an die Be- schwerdegegnerin 1 auszurichten. Im Mehrbetrag (entsprechend CHF 700.–) ist die Kaution dem Beschwerdeführer zurückzuerstatten. Vorbehalten bleibt das Verrechnungsrecht des Staates.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