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UE230131 vom 6. Dezember 2023</w:t>
      </w:r>
    </w:p>
    <w:p>
      <w:r>
        <w:t>ZH Obergericht, 2023-12-06, DE</w:t>
      </w:r>
    </w:p>
    <w:p>
      <w:r>
        <w:rPr>
          <w:b/>
        </w:rPr>
        <w:t xml:space="preserve">Quelle: </w:t>
      </w:r>
      <w:r>
        <w:t>https://mcp.opencaselaw.ch/entscheid/zh_obergericht_UE230131</w:t>
      </w:r>
    </w:p>
    <w:p>
      <w:r>
        <w:t>FR: ZH_OBERGERICHT UE230131 du 6 décembre 2023</w:t>
      </w:r>
    </w:p>
    <w:p>
      <w:r>
        <w:t>IT: ZH_OBERGERICHT UE230131 del 6 dicembre 2023</w:t>
      </w:r>
    </w:p>
    <w:p>
      <w:pPr>
        <w:pStyle w:val="Heading2"/>
      </w:pPr>
      <w:r>
        <w:t>Erwägungen</w:t>
      </w:r>
    </w:p>
    <w:p>
      <w:r>
        <w:rPr>
          <w:b/>
        </w:rPr>
        <w:t>E. 14</w:t>
      </w:r>
    </w:p>
    <w:p>
      <w:r>
        <w:t>Februar 2018 E. 4 mit Hinweisen). 2.1 Die Beschwerdeführerin macht zunächst geltend, die Nichtanhandnahme- verfügung sei von Assistenz-Staatsanwalt MLaw R. Baur erlassen worden. Dieser dürfe jedoch keine Nichtanhandnahmeverfügung erlassen (Urk. 2 S. 2 f. [nicht nummeriert]). Gemäss § 102 GOG üben die Staatsanwältinnen und -anwälte die durch die StPO der Staatsanwaltschaft übertragenen Aufgaben aus (Abs. 1). Die stellvertretenden Staatsanwältinnen und -anwälte können keine a) Strafuntersuchungen eröffnen, b) Zwangsmassnahmen anordnen, c) Anklagen erheben und vertreten (Abs. 2). Den Assistenzstaatsanwältinnen und -anwälten ist zusätzlich zu den Aufgaben gemäss Abs. 2 die Befugnis zum Erlass von Strafbefehlen entzogen, sofern eine vollziehbare Freiheitsstrafe anzuordnen ist (Abs. 3). Damit folgt e contrario aus § 102 GOG, dass es einem Assistenzstaatsanwalt nicht untersagt ist, eine Nicht-</w:t>
      </w:r>
    </w:p>
    <w:p>
      <w:r>
        <w:t>- 3 - anhandnahmeverfügung zu erlassen. Auch wenn er keine Untersuchung eröffnen kann, schränkt dies seine Kompetenz zum Erlass der angefochtenen Verfügung nicht ein. Damit ist nicht zu beanstanden, dass Assistenz-Staatsanwalt MLaw R. Baur die angefochtene Verfügung (Urk. 4) erlassen hat. 2.2 Weiter verlangt die Beschwerdeführerin eine Vereinigung des vorliegenden Strafverfahrens mit der Geschäftsnummer C-9/2021/10030399 bzw. der vorlie- genden Strafanzeige mit dem ebenfalls pendenten Strafverfahren mit der Ge- schäftsnummer C-7/2020/10026708. Bei den diesen Strafverfahren zugrunde lie- genden Strafanzeigen handle es sich (teilweise) um Gegenanzeigen (Urk. 2 S. 3 [nicht nummeriert]). Nachdem – wie nachfolgend aufzuzeigen sein wird – die vorliegende Beschwerde abzuweisen ist, erübrigt sich eine Vereinigung des vorliegenden Strafverfahrens mit anderen Strafverfahren. 3. In ihren Strafanzeigen macht die Beschwerdeführerin im Wesentlichen gel- tend, der Beschwerdegegner 1, bei welchem es sich um ihren Nachbarn handle, filme und beobachte sie heimlich mit einer Überwachungskamera im Eingangsbe- reich der Liegenschaft an der C._____-strasse 1 in Zürich. Der Beschwerdegeg- ner 1 habe einer Polizistin Aufnahmen der besagten Kamera zur Verfügung ge- stellt. Der Beschwerdegegner 1 sei fixiert auf die Beschwerdeführerin, er sei sicht- lich schwer psychisch krank. Sie, die Beschwerdeführerin, habe Angst vor dem Beschwerdegegner 1 und ihm mehrmals unmissverständlich gesagt, dass er sich von ihr fernhalten solle. Die fragliche Kamera sei vom damaligen Verwalter ohne Ermächtigung der Stockwerkeigentümergemeinschaft montiert worden (Urk. 12/- D17/2-3). 4. 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w:t>
      </w:r>
    </w:p>
    <w:p>
      <w:r>
        <w:t>- 4 - nahmeverfügung oder einen Strafbefehl erlässt (Art. 309 Abs. 4 StPO). Gemäss Art. 310 Abs. 1 StPO verfügt die Staatsanwaltschaft die Nichtanhandnahme, so- bald aufgrund der Strafanzeige oder des Polizeirapports feststeht, dass die fragli- 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 teilt sich nach dem aus dem Legalitätsprinzip abgeleiteten Grundsatz "in dubio pro duriore" (Art. 5 Abs. 1 BV sowie Art. 2 Abs. 1 i. V. m. Art. 319 Abs. 1 und Art. 324 Abs. 1 StPO). Danach darf eine Nichtanhandnahme durch die Staatsan- waltschaft gestützt auf Art. 310 Abs. 1 lit. a StPO nur in sachverhaltsmässig und rechtlich klaren Fällen ergehen. Im Zweifelsfall, wenn die Gründe der Nichtan- handnahme nicht mit absoluter Sicherheit gegeben sind, muss das Verfahren er- öffnet werden. Der Grundsatz "in dubio pro duriore" ist unter Würdigung der im Einzelfall gegebenen Umstände zu handhaben (Urteile des Bundesgerichts 6B_573/2017 vom 11. Januar 2018 E. 5.2 und 6B_810/2020 vom 14. September 2020 E. 2.1). 5. Die Staatsanwaltschaft hielt in der angefochtenen Nichtanhandnahmeverfü- gung fest, der Beschwerdegegner 1 habe der Stadtpolizei Zürich per E-Mail mit- geteilt, dass die alte Video-Gegensprechanlage in allen Wohnungen, ausser der- jenigen der Beschwerdeführerin, ersetzt worden sei. Dieser Ersatz sei an einer ordentlichen Stockwerkeigentümerversammlung beschlossen worden. Es handle sich um eine übliche Video-Gegensprechanlage, welche keine Bilder oder Videos speichern würde. Alle Anwohner seien über die Montage informiert worden. Es ergebe sich, dass die fragliche Kamera offensichtlich zur Gegensprechanlage der Liegenschaft gehöre und nur den ungeschützten privat-öffentlichen Bereich der Anwohner erfasse. Es fehle damit an einem objektiven Tatbestandselement des Straftatbestandes der Verletzung des Geheim- und Privatbereichs durch Aufnah- megeräte. Die Voraussetzungen für die Eröffnung einer Strafuntersuchung seien damit nicht gegeben (Urk. 4).</w:t>
      </w:r>
    </w:p>
    <w:p>
      <w:r>
        <w:t>- 5 - 6.1 Die Beschwerdeführerin wendet dagegen in der Beschwerdeschrift ein, es sei klar, dass der Beschwerdegegner 1 sie heimlich filme, stalke und belästige sowie fälschlicherweise diverser Straftaten beschuldige. Das gelte offensichtlich als Stalking (Urk. 2 S. 5 [nicht nummeriert]). 6.2 Einer Verletzung des Geheim- oder Privatbereichs durch Aufnahmegeräte im Sinn von Art. 179quater StGB macht sich strafbar, wer eine Tatsache aus dem Geheimbereich eines anderen oder eine nicht jedermann ohne weiteres zugängli- che Tatsache aus dem Privatbereich eines anderen ohne dessen Einwilligung mit einem Aufnahmegerät beobachtet oder auf einem Bildträger aufnimmt. 6.3 Inwiefern der Beschwerdegegner 1 die Beschwerdeführerin stalke, belästige und fälschlicherweise diverser Straftaten beschuldige, führt die Beschwerdeführe- rin in ihrer Beschwerde nicht aus. Sie belässt es bei pauschalen Vorbringen (vgl. Urk. 2). Damit ist darauf nicht näher einzugehen. Soweit die Beschwerdeführerin geltend macht, der Beschwerdegegner 1 filme sie heimlich, ist den Akten zu ent- nehmen, dass es sich bei der von der Beschwerdeführerin monierten Kamera of- fensichtlich um die Kamera der Video-Gegensprechanlage der Liegenschaft han- delt, in welcher die Beschwerdeführerin und der Beschwerdegegner 1 wohnhaft sind (Urk. 12/D17/4-5; vgl. auch Urk. 12/D19/7 p. 8 ff.). Es ist notorisch, dass Vi- deo-Gegensprechanlagen üblicherweise keine Fotos oder Videos aufzeichnen. Inwiefern dies vorliegend anders sein sollte, macht weder die Beschwerdeführerin substantiiert geltend, noch ergeben sich entsprechende Hinweise aus den Akten. Zudem zeigt die fragliche Video-Gegensprechanlage unbestrittenermassen den Eingangsbereich der Liegenschaft C._____-strasse 1 und damit nicht einen ge- schützten Privatbereich. Der Vorplatz und das Treppenpodest eines Mehrfamili- enhauses gelten im Innenverhältnis zwischen den Hausbewohnern nicht als ge- schützter Privatbereich (Urteil des Bundesgerichts 6B_1149/2013 vom 13. No- vember 2014 E. 1.3). Folglich könnte – selbst wenn solche Aufnahmen möglich wären – ein Filmen oder Fotografieren der Beschwerdeführerin im Eingangsbe- reich der Liegenschaft den Tatbestand von Art. 179quater StGB nicht erfüllen. 6.4 Zusammenfassend erfüllt das von der Beschwerdeführerin in den Strafan- zeigen vom 21. Dezember 2021 (Urk. 12/D17/2-3) geltend gemachte Verhalten</w:t>
      </w:r>
    </w:p>
    <w:p>
      <w:r>
        <w:t>- 6 - des Beschwerdegegners 1 keine Straftatbestände. Die Nichtanhandnahmeverfü- gung der Staatsanwaltschaft erweist sich demnach als korrekt, weshalb die Be- schwerde abzuweisen ist. 7.1 Angesichts der Bedeutung und Schwierigkeit des Falls sowie des Aufwands des Gerichts ist die Gerichtsgebühr für das Beschwerdeverfahren auf Fr. 500.– festzusetzen (§ 17 Abs. 1 i. V. m. § 2 Abs. 1 lit. b – d GebV OG). Ausgangsge- mäss sind die Kosten des Beschwerdeverfahrens der Beschwerdeführerin aufzu- erlegen (Art. 428 Abs. 1 StPO) und aus der von ihr geleisteten Prozesskaution (Urk. 9) zu beziehen. 7.2 Entschädigungen für das vorliegende Verfahren sind keine zuzusprechen; der Beschwerdeführerin zufolge Unterliegens, dem Beschwerdegegner 1 mangels erheblicher Aufwendungen.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