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UE230127 vom 6. Dezember 2023</w:t>
      </w:r>
    </w:p>
    <w:p>
      <w:r>
        <w:t>ZH Obergericht, 2023-12-06, DE</w:t>
      </w:r>
    </w:p>
    <w:p>
      <w:r>
        <w:rPr>
          <w:b/>
        </w:rPr>
        <w:t xml:space="preserve">Quelle: </w:t>
      </w:r>
      <w:r>
        <w:t>https://mcp.opencaselaw.ch/entscheid/zh_obergericht_UE230127</w:t>
      </w:r>
    </w:p>
    <w:p>
      <w:r>
        <w:t>FR: ZH_OBERGERICHT UE230127 du 6 décembre 2023</w:t>
      </w:r>
    </w:p>
    <w:p>
      <w:r>
        <w:t>IT: ZH_OBERGERICHT UE230127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w:t>
      </w:r>
    </w:p>
    <w:p>
      <w:r>
        <w:t>- 3 - Den Assistenzstaatsanwältinnen und -anwälten ist zusätzlich zu den Aufgaben gemäss Abs. 2 die Befugnis zum Erlass von Strafbefehlen entzogen, sofern eine vollziehbare Freiheitsstrafe anzuordnen ist (Abs. 3). Damit folgt e contrario aus § 102 GOG, dass es einem Assistenzstaatsanwalt nicht untersagt ist, eine Nicht-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vorliegende Beschwerde abzuweisen ist, erübrigt sich eine Vereinigung des vorliegenden Strafverfahrens mit anderen Strafverfahren. 2.3 Schliesslich bringt die Beschwerdeführerin vor, Rechtsanwalt lic. iur. X._____ könne wegen eines Interessenkonflikts andere Stockwerkeigen- tümer wie die Beschwerdegegner 2 und 3 im vorliegenden Strafverfahren nicht vertreten. Rechtsanwalt lic. iur. X._____ vertrete die Stockwerkeigentümer (aus- ser der Beschwerdeführerin) in Zivilverfahren zwischen den Parteien (Urk. 2 S. 3 f. [nicht nummeriert]). Im vorliegenden Verfahren wurde Rechtsanwalt lic. iur. X._____ als Vertreter der Beschwerdegegner 2 und 3 ins Rubrum aufge- nommen. In Anbetracht der Tatsache, dass vorliegend kein Schriftenwechsel durchzuführen war, sowie angesichts des Verfahrensausgangs kann offenbleiben, ob es mit den</w:t>
      </w:r>
    </w:p>
    <w:p>
      <w:r>
        <w:t>- 4 - Berufsregeln vereinbar ist, dass Rechtsanwalt lic. iur. X._____ die Beschwerde- gegner 2 und 3 im vorliegenden Verfahren vertritt. 3. In ihren Strafanzeigen macht die Beschwerdeführerin im Wesentlichen gel- tend, der Beschwerdegegner 2 habe sie (die Beschwerdeführerin) in polizeilichen Einvernahmen beschuldigt, die Beschwerdegegner 1 und 3 tätlich angegangen zu haben. Sie, die Beschwerdeführerin, sei vom Beschwerdegegner 3 nie wegen Tätlichkeiten angezeigt worden, vom Beschwerdegegner 1 hingegen schon. In diesem Verfahren habe sie allerdings Einsprache gegen den daraufhin erlasse- nen Strafbefehl erhoben. Der Beschwerdegegner 4 habe E-Mails abgesegnet, in welchen der Beschwerdegegner 2 die Beschwerdeführerin gegenüber dem Frie- densrichteramt verleumdet habe. Sodann hätten die Beschwerdegegner 1 und 3 auch gegenüber den Beschwerdegegnern 2 und 4 fälschlicherweise geäussert, die Beschwerdeführerin habe erstere tätlich angegriffen. Der Beschwerdegeg- ner 3 habe im Weiteren in einer Einvernahme auf Ergänzungsfrage des Be- schwerdegegners 4 angegeben, er (der Beschwerdegegner 3) habe Angst vor der Beschwerdeführerin. Schliesslich habe der Beschwerdegegner 2 in einem Schrei- ben gegenüber dem Stadtrichteramt Zürich festgehalten, die Beschwerdeführerin habe den Beschwerdegegner 1 vor Zeugen mit "Arschloch" betitelt. Mit all diesen Vorbringen seien Ehrverletzungsdelikte begangen worden (Urk. 12/D1/3; Urk. 12/- D1/5; Urk. 12/D1/7). 4.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w:t>
      </w:r>
    </w:p>
    <w:p>
      <w:r>
        <w:t>- 5 -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5. Die Staatsanwaltschaft hielt in der angefochtenen Nichtanhandnahmeverfü- gung zusammengefasst fest, der Vorwurf des strafbaren Verhaltens sei zwar grundsätzlich ehrverletzend. Die Staatsanwaltschaft habe jedoch unbestrittener- massen gegen die Beschwerdeführerin einen Strafbefehl wegen Beschimpfung und Tätlichkeit zum Nachteil des Beschwerdegegners 1 erlassen. Weiter habe der Beschwerdegegner 3 gegen die Beschwerdeführerin ein Strafverfahren eingelei- tet, dies ebenfalls wegen Beschimpfung und Tätlichkeiten. Unter diesen Umstän- den seien die erhobenen Vorwürfe bei laienhafter Betrachtung im Kern richtig und es lägen keine Ehrverletzungen vor, da der Gutglaubensbeweis erbracht sei. Die Voraussetzungen für die Eröffnung einer Strafuntersuchung seien entsprechend nicht gegeben (Urk. 4). 6. Die Beschwerdeführerin wendet dagegen in der Beschwerdeschrift ein, es gebe in den entsprechenden Akten keinen Beweis, dass sie die Beschwerdegeg- ner 1 und 3 beschimpft oder tätlich angegriffen hätte. Dies hätte in der angefoch- tenen Verfügung erwähnt werden müssen, wie auch die Tatsache, dass die Un- schuldsvermutung gelte und dass die Staatsanwaltschaft betreffend die rechts- missbräuchliche Strafanzeige (gemeint wohl die vom Beschwerdegegner 3 gegen die Beschwerdeführerin erstattete Anzeige) im Februar 2023 das Verfahren ein- gestellt habe (Urk. 2 S. 4 [nicht nummeriert]). 7.1 Wenn die gerichtsnotorisch prozesserfahrene Beschwerdeführerin in der Beschwerdeschrift geltend macht, es gebe keine Beweise in den Akten, dass sie</w:t>
      </w:r>
    </w:p>
    <w:p>
      <w:r>
        <w:t>- 6 - die Beschwerdegegner 1 und 3 tätlich angegriffen oder beschimpft habe, dass ferner hätte erwähnt werden sollen, dass die Unschuldsvermutung gelte, sowie dass eine gegen sie wegen Beschimpfung und Tätlichkeiten angehobene Strafun- tersuchung eingestellt worden sei, setzt sie sich mit der Begründung in der Nicht- anhandnahmeverfügung nicht in genügender Weise auseinander. Sie stellt insbe- sondere nicht explizit in Frage, dass gegen sie ein Strafbefehl wegen Beschimp- fung und Tätlichkeiten ergangen sowie dass eine Strafuntersuchung wegen der- selben Delikte eröffnet worden ist. Auch setzt sie sich mit der Begründung der Staatsanwaltschaft, dass die gegenüber ihr erhobenen Vorwürfe in Anbetracht der Tatsache, dass die Vorwürfe bei laienhafter Betrachtung sowie vor dem soeben dargelegten Hintergrund im Kern zutreffend gewesen seien, womit der Gutglau- bensbeweis erbracht sei, nicht genügend auseinander. Sie zeigt nicht substanti- iert auf, inwiefern die Begründung der Staatsanwaltschaft in der angefochtenen Verfügung nicht zutreffen würde. Daran vermag auch nichts zu ändern, dass die Beschwerdeführerin gegen den fraglichen Strafbefehl Einsprache erhoben hat und dass die gegen sie wegen Beschimpfung und Tätlichkeiten angehobene Strafuntersuchung zwischenzeitlich eingestellt worden ist. 7.2 Es ist vorliegend kein strafrechtlich relevantes Verhalten der Beschwerde- gegner oder einzelner der Beschwerdegegner erkennbar. Die Nichtanhandnah- meverfügung der Staatsanwaltschaft erweist sich demnach als korrekt, weshalb die Beschwerde abzuweisen ist, soweit darauf einzutreten ist. 8.1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8.2 Entschädigungen für das vorliegende Verfahren sind keine zuzusprechen; der Beschwerdeführerin zufolge Unterliegens, den Beschwerdegegnern mangels erheblicher Aufwendungen.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